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E8E9A" w14:textId="77777777" w:rsidR="00501459" w:rsidRDefault="00501459" w:rsidP="00501459">
      <w:pPr>
        <w:spacing w:after="0" w:line="240" w:lineRule="auto"/>
        <w:rPr>
          <w:b/>
          <w:bCs/>
          <w:sz w:val="26"/>
          <w:szCs w:val="26"/>
        </w:rPr>
      </w:pPr>
    </w:p>
    <w:p w14:paraId="20D1740D" w14:textId="77777777" w:rsidR="00501459" w:rsidRDefault="00501459" w:rsidP="00501459">
      <w:pPr>
        <w:spacing w:after="0" w:line="240" w:lineRule="auto"/>
        <w:rPr>
          <w:b/>
          <w:bCs/>
          <w:sz w:val="26"/>
          <w:szCs w:val="26"/>
        </w:rPr>
      </w:pPr>
    </w:p>
    <w:p w14:paraId="1E5DE2DA" w14:textId="77777777" w:rsidR="00501459" w:rsidRDefault="00501459" w:rsidP="00501459">
      <w:pPr>
        <w:spacing w:after="0" w:line="240" w:lineRule="auto"/>
        <w:rPr>
          <w:b/>
          <w:bCs/>
          <w:sz w:val="26"/>
          <w:szCs w:val="26"/>
        </w:rPr>
      </w:pPr>
    </w:p>
    <w:p w14:paraId="12D48DA7" w14:textId="77777777" w:rsidR="00501459" w:rsidRDefault="00501459" w:rsidP="00501459">
      <w:pPr>
        <w:spacing w:after="0" w:line="240" w:lineRule="auto"/>
        <w:rPr>
          <w:b/>
          <w:bCs/>
          <w:sz w:val="26"/>
          <w:szCs w:val="26"/>
        </w:rPr>
      </w:pPr>
    </w:p>
    <w:p w14:paraId="7F4B0BF1" w14:textId="77777777" w:rsidR="00501459" w:rsidRDefault="00501459" w:rsidP="00501459">
      <w:pPr>
        <w:spacing w:after="0" w:line="240" w:lineRule="auto"/>
        <w:rPr>
          <w:b/>
          <w:bCs/>
          <w:sz w:val="26"/>
          <w:szCs w:val="26"/>
        </w:rPr>
      </w:pPr>
    </w:p>
    <w:p w14:paraId="7D16194E" w14:textId="77777777" w:rsidR="00501459" w:rsidRDefault="00501459" w:rsidP="00501459">
      <w:pPr>
        <w:spacing w:after="0" w:line="240" w:lineRule="auto"/>
        <w:rPr>
          <w:b/>
          <w:bCs/>
          <w:sz w:val="26"/>
          <w:szCs w:val="26"/>
        </w:rPr>
      </w:pPr>
    </w:p>
    <w:p w14:paraId="53D5AFCF" w14:textId="77777777" w:rsidR="00501459" w:rsidRDefault="00501459" w:rsidP="00501459">
      <w:pPr>
        <w:spacing w:after="0" w:line="240" w:lineRule="auto"/>
        <w:rPr>
          <w:b/>
          <w:bCs/>
          <w:sz w:val="26"/>
          <w:szCs w:val="26"/>
        </w:rPr>
      </w:pPr>
    </w:p>
    <w:p w14:paraId="47C67662" w14:textId="77777777" w:rsidR="00501459" w:rsidRDefault="00501459" w:rsidP="00501459">
      <w:pPr>
        <w:spacing w:after="0" w:line="240" w:lineRule="auto"/>
        <w:rPr>
          <w:b/>
          <w:bCs/>
          <w:sz w:val="26"/>
          <w:szCs w:val="26"/>
        </w:rPr>
      </w:pPr>
    </w:p>
    <w:p w14:paraId="23B873CE" w14:textId="77777777" w:rsidR="00501459" w:rsidRDefault="00501459" w:rsidP="00501459">
      <w:pPr>
        <w:spacing w:after="0" w:line="240" w:lineRule="auto"/>
        <w:rPr>
          <w:b/>
          <w:bCs/>
          <w:sz w:val="26"/>
          <w:szCs w:val="26"/>
        </w:rPr>
      </w:pPr>
    </w:p>
    <w:p w14:paraId="763F7662" w14:textId="77777777" w:rsidR="00501459" w:rsidRDefault="00501459" w:rsidP="00501459">
      <w:pPr>
        <w:spacing w:after="0" w:line="240" w:lineRule="auto"/>
        <w:rPr>
          <w:b/>
          <w:bCs/>
          <w:sz w:val="26"/>
          <w:szCs w:val="26"/>
        </w:rPr>
      </w:pPr>
      <w:r w:rsidRPr="001D1865">
        <w:rPr>
          <w:b/>
          <w:bCs/>
          <w:noProof/>
          <w:sz w:val="26"/>
          <w:szCs w:val="26"/>
          <w:lang w:eastAsia="en-GB"/>
        </w:rPr>
        <w:drawing>
          <wp:anchor distT="0" distB="0" distL="114300" distR="114300" simplePos="0" relativeHeight="251659264" behindDoc="0" locked="0" layoutInCell="1" allowOverlap="1" wp14:anchorId="1B4813D8" wp14:editId="372E0C6E">
            <wp:simplePos x="0" y="0"/>
            <wp:positionH relativeFrom="margin">
              <wp:align>center</wp:align>
            </wp:positionH>
            <wp:positionV relativeFrom="paragraph">
              <wp:posOffset>125228</wp:posOffset>
            </wp:positionV>
            <wp:extent cx="6537277" cy="1024914"/>
            <wp:effectExtent l="0" t="0" r="0" b="3810"/>
            <wp:wrapNone/>
            <wp:docPr id="1" name="Picture 1"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Kelvie\AppData\Local\Microsoft\Windows\Temporary Internet Files\Content.Outlook\X2C1YOLL\IMG_407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7277" cy="10249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D718D" w14:textId="77777777" w:rsidR="00501459" w:rsidRDefault="00501459" w:rsidP="00501459">
      <w:pPr>
        <w:spacing w:after="0" w:line="240" w:lineRule="auto"/>
        <w:rPr>
          <w:b/>
          <w:bCs/>
          <w:sz w:val="26"/>
          <w:szCs w:val="26"/>
        </w:rPr>
      </w:pPr>
    </w:p>
    <w:p w14:paraId="47EA3A6A" w14:textId="77777777" w:rsidR="00501459" w:rsidRDefault="00501459" w:rsidP="00501459">
      <w:pPr>
        <w:spacing w:after="0" w:line="240" w:lineRule="auto"/>
        <w:rPr>
          <w:b/>
          <w:bCs/>
          <w:sz w:val="26"/>
          <w:szCs w:val="26"/>
        </w:rPr>
      </w:pPr>
    </w:p>
    <w:p w14:paraId="7FCFC8A6" w14:textId="77777777" w:rsidR="00501459" w:rsidRDefault="00501459" w:rsidP="00501459">
      <w:pPr>
        <w:spacing w:after="0" w:line="240" w:lineRule="auto"/>
        <w:rPr>
          <w:b/>
          <w:bCs/>
          <w:sz w:val="26"/>
          <w:szCs w:val="26"/>
        </w:rPr>
      </w:pPr>
    </w:p>
    <w:p w14:paraId="615187D5" w14:textId="77777777" w:rsidR="00501459" w:rsidRDefault="00501459" w:rsidP="00501459">
      <w:pPr>
        <w:spacing w:after="0" w:line="240" w:lineRule="auto"/>
        <w:rPr>
          <w:b/>
          <w:bCs/>
          <w:sz w:val="26"/>
          <w:szCs w:val="26"/>
        </w:rPr>
      </w:pPr>
    </w:p>
    <w:p w14:paraId="0FD4D637" w14:textId="77777777" w:rsidR="00501459" w:rsidRDefault="00501459" w:rsidP="00501459">
      <w:pPr>
        <w:spacing w:after="0" w:line="240" w:lineRule="auto"/>
        <w:rPr>
          <w:b/>
          <w:bCs/>
          <w:sz w:val="26"/>
          <w:szCs w:val="26"/>
        </w:rPr>
      </w:pPr>
    </w:p>
    <w:p w14:paraId="732ABBAB" w14:textId="77777777" w:rsidR="00501459" w:rsidRDefault="00501459" w:rsidP="00501459">
      <w:pPr>
        <w:spacing w:after="0" w:line="240" w:lineRule="auto"/>
        <w:rPr>
          <w:b/>
          <w:bCs/>
          <w:sz w:val="26"/>
          <w:szCs w:val="26"/>
        </w:rPr>
      </w:pPr>
    </w:p>
    <w:p w14:paraId="496E7818" w14:textId="77777777" w:rsidR="00501459" w:rsidRDefault="00501459" w:rsidP="00501459">
      <w:pPr>
        <w:spacing w:after="0" w:line="240" w:lineRule="auto"/>
        <w:rPr>
          <w:b/>
          <w:bCs/>
          <w:sz w:val="26"/>
          <w:szCs w:val="26"/>
        </w:rPr>
      </w:pPr>
      <w:r w:rsidRPr="001D1865">
        <w:rPr>
          <w:b/>
          <w:bCs/>
          <w:noProof/>
          <w:sz w:val="26"/>
          <w:szCs w:val="26"/>
          <w:lang w:eastAsia="en-GB"/>
        </w:rPr>
        <w:drawing>
          <wp:anchor distT="0" distB="0" distL="114300" distR="114300" simplePos="0" relativeHeight="251660288" behindDoc="0" locked="0" layoutInCell="1" allowOverlap="1" wp14:anchorId="7C9FA2F6" wp14:editId="133BB0C1">
            <wp:simplePos x="0" y="0"/>
            <wp:positionH relativeFrom="margin">
              <wp:align>center</wp:align>
            </wp:positionH>
            <wp:positionV relativeFrom="paragraph">
              <wp:posOffset>13733</wp:posOffset>
            </wp:positionV>
            <wp:extent cx="1830933" cy="982639"/>
            <wp:effectExtent l="0" t="0" r="0" b="8255"/>
            <wp:wrapNone/>
            <wp:docPr id="5" name="Picture 5" descr="C:\Users\Tanya.Kelvie\AppData\Local\Microsoft\Windows\Temporary Internet Files\Content.Outlook\X2C1YOLL\IMG_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Kelvie\AppData\Local\Microsoft\Windows\Temporary Internet Files\Content.Outlook\X2C1YOLL\IMG_407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0933" cy="9826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21CFE" w14:textId="77777777" w:rsidR="00501459" w:rsidRDefault="00501459" w:rsidP="00501459">
      <w:pPr>
        <w:spacing w:after="0" w:line="240" w:lineRule="auto"/>
        <w:rPr>
          <w:b/>
          <w:bCs/>
          <w:sz w:val="26"/>
          <w:szCs w:val="26"/>
        </w:rPr>
      </w:pPr>
    </w:p>
    <w:p w14:paraId="221F01CF" w14:textId="77777777" w:rsidR="00501459" w:rsidRDefault="00501459" w:rsidP="00501459">
      <w:pPr>
        <w:spacing w:after="0" w:line="240" w:lineRule="auto"/>
        <w:rPr>
          <w:b/>
          <w:bCs/>
          <w:sz w:val="26"/>
          <w:szCs w:val="26"/>
        </w:rPr>
      </w:pPr>
    </w:p>
    <w:p w14:paraId="1A952B42" w14:textId="77777777" w:rsidR="00501459" w:rsidRDefault="00501459" w:rsidP="00501459">
      <w:pPr>
        <w:spacing w:after="0" w:line="240" w:lineRule="auto"/>
        <w:rPr>
          <w:b/>
          <w:bCs/>
          <w:sz w:val="26"/>
          <w:szCs w:val="26"/>
        </w:rPr>
      </w:pPr>
    </w:p>
    <w:p w14:paraId="67A93A46" w14:textId="77777777" w:rsidR="00501459" w:rsidRDefault="00501459" w:rsidP="00501459">
      <w:pPr>
        <w:spacing w:after="0" w:line="240" w:lineRule="auto"/>
        <w:rPr>
          <w:b/>
          <w:bCs/>
          <w:sz w:val="26"/>
          <w:szCs w:val="26"/>
        </w:rPr>
      </w:pPr>
    </w:p>
    <w:p w14:paraId="622D6B37" w14:textId="77777777" w:rsidR="00501459" w:rsidRDefault="00501459" w:rsidP="00501459">
      <w:pPr>
        <w:spacing w:after="0" w:line="240" w:lineRule="auto"/>
        <w:rPr>
          <w:b/>
          <w:bCs/>
          <w:sz w:val="26"/>
          <w:szCs w:val="26"/>
        </w:rPr>
      </w:pPr>
    </w:p>
    <w:p w14:paraId="03770A61" w14:textId="77777777" w:rsidR="00501459" w:rsidRDefault="00501459" w:rsidP="00501459">
      <w:pPr>
        <w:spacing w:after="0" w:line="240" w:lineRule="auto"/>
        <w:rPr>
          <w:b/>
          <w:bCs/>
          <w:sz w:val="26"/>
          <w:szCs w:val="26"/>
        </w:rPr>
      </w:pPr>
    </w:p>
    <w:p w14:paraId="08D5E636" w14:textId="77777777" w:rsidR="00501459" w:rsidRDefault="00501459" w:rsidP="00501459">
      <w:pPr>
        <w:spacing w:after="0" w:line="240" w:lineRule="auto"/>
        <w:rPr>
          <w:b/>
          <w:bCs/>
          <w:sz w:val="26"/>
          <w:szCs w:val="26"/>
        </w:rPr>
      </w:pPr>
    </w:p>
    <w:p w14:paraId="10ED5739" w14:textId="77777777" w:rsidR="00501459" w:rsidRDefault="00501459" w:rsidP="00501459">
      <w:pPr>
        <w:spacing w:after="0" w:line="240" w:lineRule="auto"/>
        <w:rPr>
          <w:b/>
          <w:bCs/>
          <w:sz w:val="26"/>
          <w:szCs w:val="26"/>
        </w:rPr>
      </w:pPr>
    </w:p>
    <w:tbl>
      <w:tblPr>
        <w:tblStyle w:val="TableGrid"/>
        <w:tblW w:w="0" w:type="auto"/>
        <w:tblLayout w:type="fixed"/>
        <w:tblLook w:val="04A0" w:firstRow="1" w:lastRow="0" w:firstColumn="1" w:lastColumn="0" w:noHBand="0" w:noVBand="1"/>
      </w:tblPr>
      <w:tblGrid>
        <w:gridCol w:w="1838"/>
        <w:gridCol w:w="4323"/>
        <w:gridCol w:w="3081"/>
      </w:tblGrid>
      <w:tr w:rsidR="00501459" w14:paraId="0FD577BB" w14:textId="77777777" w:rsidTr="009F5403">
        <w:tc>
          <w:tcPr>
            <w:tcW w:w="1838" w:type="dxa"/>
            <w:vMerge w:val="restart"/>
          </w:tcPr>
          <w:p w14:paraId="7C37E29F" w14:textId="77777777" w:rsidR="00501459" w:rsidRPr="00B0628D" w:rsidRDefault="00501459" w:rsidP="009F5403">
            <w:pPr>
              <w:rPr>
                <w:sz w:val="24"/>
              </w:rPr>
            </w:pPr>
            <w:r>
              <w:rPr>
                <w:noProof/>
                <w:lang w:eastAsia="en-GB"/>
              </w:rPr>
              <w:drawing>
                <wp:anchor distT="0" distB="0" distL="114300" distR="114300" simplePos="0" relativeHeight="251661312" behindDoc="0" locked="0" layoutInCell="1" allowOverlap="1" wp14:anchorId="73F8997A" wp14:editId="2324D475">
                  <wp:simplePos x="0" y="0"/>
                  <wp:positionH relativeFrom="column">
                    <wp:posOffset>267354</wp:posOffset>
                  </wp:positionH>
                  <wp:positionV relativeFrom="paragraph">
                    <wp:posOffset>100965</wp:posOffset>
                  </wp:positionV>
                  <wp:extent cx="622300" cy="647700"/>
                  <wp:effectExtent l="0" t="0" r="6350" b="0"/>
                  <wp:wrapNone/>
                  <wp:docPr id="2" name="Picture 2"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Kelvie\AppData\Local\Microsoft\Windows\Temporary Internet Files\Content.Outlook\X2C1YOLL\IMG_4075.JPG"/>
                          <pic:cNvPicPr>
                            <a:picLocks noChangeAspect="1" noChangeArrowheads="1"/>
                          </pic:cNvPicPr>
                        </pic:nvPicPr>
                        <pic:blipFill rotWithShape="1">
                          <a:blip r:embed="rId6">
                            <a:extLst>
                              <a:ext uri="{28A0092B-C50C-407E-A947-70E740481C1C}">
                                <a14:useLocalDpi xmlns:a14="http://schemas.microsoft.com/office/drawing/2010/main" val="0"/>
                              </a:ext>
                            </a:extLst>
                          </a:blip>
                          <a:srcRect r="84937"/>
                          <a:stretch/>
                        </pic:blipFill>
                        <pic:spPr bwMode="auto">
                          <a:xfrm>
                            <a:off x="0" y="0"/>
                            <a:ext cx="62230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FDE174" w14:textId="77777777" w:rsidR="00501459" w:rsidRDefault="00501459" w:rsidP="009F5403">
            <w:pPr>
              <w:rPr>
                <w:noProof/>
              </w:rPr>
            </w:pPr>
          </w:p>
          <w:p w14:paraId="54BEE400" w14:textId="77777777" w:rsidR="00501459" w:rsidRPr="00B0628D" w:rsidRDefault="00501459" w:rsidP="009F5403">
            <w:pPr>
              <w:rPr>
                <w:sz w:val="24"/>
              </w:rPr>
            </w:pPr>
          </w:p>
        </w:tc>
        <w:tc>
          <w:tcPr>
            <w:tcW w:w="7404" w:type="dxa"/>
            <w:gridSpan w:val="2"/>
          </w:tcPr>
          <w:p w14:paraId="3A3DAB11" w14:textId="77777777" w:rsidR="00501459" w:rsidRPr="00B0628D" w:rsidRDefault="00501459" w:rsidP="009F5403">
            <w:pPr>
              <w:jc w:val="center"/>
              <w:rPr>
                <w:b/>
                <w:sz w:val="28"/>
              </w:rPr>
            </w:pPr>
            <w:r>
              <w:rPr>
                <w:b/>
                <w:sz w:val="32"/>
                <w:szCs w:val="26"/>
              </w:rPr>
              <w:t>CEIAG</w:t>
            </w:r>
            <w:r w:rsidRPr="00B0628D">
              <w:rPr>
                <w:b/>
                <w:sz w:val="32"/>
                <w:szCs w:val="26"/>
              </w:rPr>
              <w:t xml:space="preserve"> Policy</w:t>
            </w:r>
          </w:p>
          <w:p w14:paraId="6AD8878F" w14:textId="77777777" w:rsidR="00501459" w:rsidRPr="00B0628D" w:rsidRDefault="00501459" w:rsidP="009F5403">
            <w:pPr>
              <w:rPr>
                <w:sz w:val="24"/>
              </w:rPr>
            </w:pPr>
          </w:p>
        </w:tc>
      </w:tr>
      <w:tr w:rsidR="00501459" w14:paraId="5C7A1D82" w14:textId="77777777" w:rsidTr="009F5403">
        <w:tc>
          <w:tcPr>
            <w:tcW w:w="1838" w:type="dxa"/>
            <w:vMerge/>
          </w:tcPr>
          <w:p w14:paraId="0B5F014D" w14:textId="77777777" w:rsidR="00501459" w:rsidRPr="00B0628D" w:rsidRDefault="00501459" w:rsidP="009F5403">
            <w:pPr>
              <w:rPr>
                <w:sz w:val="24"/>
              </w:rPr>
            </w:pPr>
          </w:p>
        </w:tc>
        <w:tc>
          <w:tcPr>
            <w:tcW w:w="7404" w:type="dxa"/>
            <w:gridSpan w:val="2"/>
          </w:tcPr>
          <w:p w14:paraId="56C19B92" w14:textId="77777777" w:rsidR="00501459" w:rsidRPr="00B0628D" w:rsidRDefault="00501459" w:rsidP="009F5403">
            <w:pPr>
              <w:rPr>
                <w:sz w:val="24"/>
              </w:rPr>
            </w:pPr>
            <w:r>
              <w:rPr>
                <w:sz w:val="24"/>
              </w:rPr>
              <w:t>Approved by:</w:t>
            </w:r>
          </w:p>
        </w:tc>
      </w:tr>
      <w:tr w:rsidR="00501459" w14:paraId="472C5111" w14:textId="77777777" w:rsidTr="009F5403">
        <w:tc>
          <w:tcPr>
            <w:tcW w:w="1838" w:type="dxa"/>
            <w:vMerge/>
          </w:tcPr>
          <w:p w14:paraId="53CAEC87" w14:textId="77777777" w:rsidR="00501459" w:rsidRPr="00B0628D" w:rsidRDefault="00501459" w:rsidP="009F5403">
            <w:pPr>
              <w:rPr>
                <w:sz w:val="24"/>
              </w:rPr>
            </w:pPr>
          </w:p>
        </w:tc>
        <w:tc>
          <w:tcPr>
            <w:tcW w:w="4323" w:type="dxa"/>
          </w:tcPr>
          <w:p w14:paraId="2AE0CAE4" w14:textId="592C2CA9" w:rsidR="00501459" w:rsidRPr="00B0628D" w:rsidRDefault="00501459" w:rsidP="009F5403">
            <w:pPr>
              <w:rPr>
                <w:sz w:val="24"/>
              </w:rPr>
            </w:pPr>
            <w:r w:rsidRPr="00B0628D">
              <w:rPr>
                <w:sz w:val="24"/>
              </w:rPr>
              <w:t xml:space="preserve">Last Review: </w:t>
            </w:r>
            <w:r w:rsidR="009B249C">
              <w:rPr>
                <w:sz w:val="24"/>
              </w:rPr>
              <w:t>22</w:t>
            </w:r>
            <w:r w:rsidR="001A7601">
              <w:rPr>
                <w:sz w:val="24"/>
              </w:rPr>
              <w:t>/7/2</w:t>
            </w:r>
            <w:r w:rsidR="009B249C">
              <w:rPr>
                <w:sz w:val="24"/>
              </w:rPr>
              <w:t>5</w:t>
            </w:r>
          </w:p>
        </w:tc>
        <w:tc>
          <w:tcPr>
            <w:tcW w:w="3081" w:type="dxa"/>
          </w:tcPr>
          <w:p w14:paraId="0CD44A1F" w14:textId="11E3AB40" w:rsidR="00501459" w:rsidRDefault="00501459" w:rsidP="009F5403">
            <w:pPr>
              <w:rPr>
                <w:sz w:val="24"/>
              </w:rPr>
            </w:pPr>
            <w:r>
              <w:rPr>
                <w:sz w:val="24"/>
              </w:rPr>
              <w:t xml:space="preserve">Next Review: </w:t>
            </w:r>
            <w:r w:rsidR="009B249C">
              <w:rPr>
                <w:sz w:val="24"/>
              </w:rPr>
              <w:t>22</w:t>
            </w:r>
            <w:r w:rsidR="001A7601">
              <w:rPr>
                <w:sz w:val="24"/>
              </w:rPr>
              <w:t>/7/2</w:t>
            </w:r>
            <w:r w:rsidR="009B249C">
              <w:rPr>
                <w:sz w:val="24"/>
              </w:rPr>
              <w:t>6</w:t>
            </w:r>
          </w:p>
        </w:tc>
      </w:tr>
    </w:tbl>
    <w:p w14:paraId="0A2ECFCC" w14:textId="77777777" w:rsidR="00501459" w:rsidRDefault="00501459" w:rsidP="00501459">
      <w:pPr>
        <w:spacing w:after="0" w:line="240" w:lineRule="auto"/>
        <w:rPr>
          <w:b/>
          <w:bCs/>
          <w:sz w:val="26"/>
          <w:szCs w:val="26"/>
        </w:rPr>
      </w:pPr>
    </w:p>
    <w:p w14:paraId="40E677B0" w14:textId="77777777" w:rsidR="00501459" w:rsidRDefault="00501459" w:rsidP="00501459">
      <w:pPr>
        <w:spacing w:after="0" w:line="240" w:lineRule="auto"/>
        <w:rPr>
          <w:b/>
          <w:bCs/>
          <w:sz w:val="26"/>
          <w:szCs w:val="26"/>
        </w:rPr>
      </w:pPr>
    </w:p>
    <w:p w14:paraId="648A65B7" w14:textId="77777777" w:rsidR="00501459" w:rsidRDefault="00501459" w:rsidP="00501459">
      <w:pPr>
        <w:spacing w:after="0" w:line="240" w:lineRule="auto"/>
        <w:rPr>
          <w:b/>
          <w:bCs/>
          <w:sz w:val="26"/>
          <w:szCs w:val="26"/>
        </w:rPr>
      </w:pPr>
    </w:p>
    <w:p w14:paraId="2C6D01F6" w14:textId="77777777" w:rsidR="00501459" w:rsidRDefault="00501459" w:rsidP="00501459">
      <w:pPr>
        <w:spacing w:after="0" w:line="240" w:lineRule="auto"/>
        <w:rPr>
          <w:b/>
          <w:bCs/>
          <w:sz w:val="26"/>
          <w:szCs w:val="26"/>
        </w:rPr>
      </w:pPr>
    </w:p>
    <w:p w14:paraId="6CF10418" w14:textId="77777777" w:rsidR="00501459" w:rsidRDefault="00501459" w:rsidP="00501459">
      <w:pPr>
        <w:spacing w:after="0" w:line="240" w:lineRule="auto"/>
        <w:rPr>
          <w:b/>
          <w:bCs/>
          <w:sz w:val="26"/>
          <w:szCs w:val="26"/>
        </w:rPr>
      </w:pPr>
    </w:p>
    <w:p w14:paraId="753702BA" w14:textId="77777777" w:rsidR="00501459" w:rsidRDefault="00501459" w:rsidP="00501459">
      <w:pPr>
        <w:spacing w:after="0" w:line="240" w:lineRule="auto"/>
        <w:rPr>
          <w:b/>
          <w:bCs/>
          <w:sz w:val="26"/>
          <w:szCs w:val="26"/>
        </w:rPr>
      </w:pPr>
    </w:p>
    <w:p w14:paraId="5A709D11" w14:textId="77777777" w:rsidR="00501459" w:rsidRDefault="00501459" w:rsidP="00501459">
      <w:pPr>
        <w:spacing w:after="0" w:line="240" w:lineRule="auto"/>
        <w:rPr>
          <w:b/>
          <w:bCs/>
          <w:sz w:val="26"/>
          <w:szCs w:val="26"/>
        </w:rPr>
      </w:pPr>
    </w:p>
    <w:p w14:paraId="2D468CFD" w14:textId="77777777" w:rsidR="00501459" w:rsidRDefault="00501459" w:rsidP="00501459">
      <w:pPr>
        <w:spacing w:after="0" w:line="240" w:lineRule="auto"/>
        <w:rPr>
          <w:b/>
          <w:bCs/>
          <w:sz w:val="26"/>
          <w:szCs w:val="26"/>
        </w:rPr>
      </w:pPr>
    </w:p>
    <w:p w14:paraId="069B8A66" w14:textId="77777777" w:rsidR="00501459" w:rsidRDefault="00501459" w:rsidP="00501459">
      <w:pPr>
        <w:spacing w:after="0" w:line="240" w:lineRule="auto"/>
        <w:rPr>
          <w:b/>
          <w:bCs/>
          <w:sz w:val="26"/>
          <w:szCs w:val="26"/>
        </w:rPr>
      </w:pPr>
    </w:p>
    <w:p w14:paraId="18191F48" w14:textId="77777777" w:rsidR="00501459" w:rsidRDefault="00501459" w:rsidP="00501459">
      <w:pPr>
        <w:spacing w:after="0" w:line="240" w:lineRule="auto"/>
        <w:rPr>
          <w:b/>
          <w:bCs/>
          <w:sz w:val="26"/>
          <w:szCs w:val="26"/>
        </w:rPr>
      </w:pPr>
    </w:p>
    <w:p w14:paraId="16D1D7CA" w14:textId="77777777" w:rsidR="00501459" w:rsidRDefault="00501459" w:rsidP="00501459">
      <w:pPr>
        <w:spacing w:after="0" w:line="240" w:lineRule="auto"/>
        <w:rPr>
          <w:b/>
          <w:bCs/>
          <w:sz w:val="26"/>
          <w:szCs w:val="26"/>
        </w:rPr>
      </w:pPr>
    </w:p>
    <w:p w14:paraId="0B501091" w14:textId="77777777" w:rsidR="00501459" w:rsidRDefault="00501459" w:rsidP="00501459">
      <w:pPr>
        <w:spacing w:after="0" w:line="240" w:lineRule="auto"/>
        <w:rPr>
          <w:b/>
          <w:bCs/>
          <w:sz w:val="26"/>
          <w:szCs w:val="26"/>
        </w:rPr>
      </w:pPr>
    </w:p>
    <w:p w14:paraId="19983649" w14:textId="77777777" w:rsidR="00501459" w:rsidRDefault="00501459" w:rsidP="00501459">
      <w:pPr>
        <w:spacing w:after="0" w:line="240" w:lineRule="auto"/>
        <w:rPr>
          <w:b/>
          <w:bCs/>
          <w:sz w:val="26"/>
          <w:szCs w:val="26"/>
        </w:rPr>
      </w:pPr>
    </w:p>
    <w:p w14:paraId="7F675D6A" w14:textId="77777777" w:rsidR="00501459" w:rsidRDefault="00501459" w:rsidP="00501459">
      <w:pPr>
        <w:spacing w:after="0" w:line="240" w:lineRule="auto"/>
        <w:rPr>
          <w:b/>
          <w:bCs/>
          <w:sz w:val="26"/>
          <w:szCs w:val="26"/>
        </w:rPr>
      </w:pPr>
    </w:p>
    <w:p w14:paraId="3B77B5FA" w14:textId="77777777" w:rsidR="00524526" w:rsidRPr="00501459" w:rsidRDefault="00524526" w:rsidP="00501459">
      <w:pPr>
        <w:pStyle w:val="ListParagraph"/>
        <w:numPr>
          <w:ilvl w:val="0"/>
          <w:numId w:val="16"/>
        </w:numPr>
        <w:rPr>
          <w:b/>
          <w:color w:val="000000" w:themeColor="text1"/>
          <w:sz w:val="28"/>
        </w:rPr>
      </w:pPr>
      <w:r w:rsidRPr="00501459">
        <w:rPr>
          <w:b/>
          <w:color w:val="000000" w:themeColor="text1"/>
          <w:sz w:val="28"/>
        </w:rPr>
        <w:lastRenderedPageBreak/>
        <w:t>Mission Statement</w:t>
      </w:r>
    </w:p>
    <w:p w14:paraId="7A8D0511" w14:textId="77777777" w:rsidR="006233C1" w:rsidRPr="006233C1" w:rsidRDefault="006233C1" w:rsidP="006233C1">
      <w:pPr>
        <w:ind w:left="360"/>
        <w:rPr>
          <w:b/>
          <w:sz w:val="24"/>
        </w:rPr>
      </w:pPr>
      <w:r>
        <w:rPr>
          <w:b/>
          <w:sz w:val="24"/>
        </w:rPr>
        <w:t>1</w:t>
      </w:r>
      <w:r w:rsidRPr="006233C1">
        <w:rPr>
          <w:b/>
          <w:sz w:val="24"/>
        </w:rPr>
        <w:t xml:space="preserve">.1 </w:t>
      </w:r>
      <w:r>
        <w:rPr>
          <w:b/>
          <w:sz w:val="24"/>
        </w:rPr>
        <w:t>Purpose of CEIAG</w:t>
      </w:r>
    </w:p>
    <w:p w14:paraId="0B9780DD" w14:textId="77777777" w:rsidR="009B249C" w:rsidRPr="009B249C" w:rsidRDefault="009B249C" w:rsidP="00172902">
      <w:pPr>
        <w:rPr>
          <w:bCs/>
          <w:szCs w:val="20"/>
        </w:rPr>
      </w:pPr>
      <w:r w:rsidRPr="009B249C">
        <w:rPr>
          <w:bCs/>
          <w:szCs w:val="20"/>
        </w:rPr>
        <w:t>Aylesford School is committed to delivering high-quality Careers Education, Information, Advice and Guidance (CEIAG) for all students. This provision is aligned with both statutory and non-statutory guidance as outlined by the Department for Education, and reflects our dedication to supporting students in making informed, ambitious, and achievable decisions about their futures.</w:t>
      </w:r>
    </w:p>
    <w:p w14:paraId="398DCB6E" w14:textId="77777777" w:rsidR="009B249C" w:rsidRPr="009B249C" w:rsidRDefault="009B249C" w:rsidP="009B249C">
      <w:pPr>
        <w:rPr>
          <w:bCs/>
          <w:szCs w:val="20"/>
        </w:rPr>
      </w:pPr>
      <w:r w:rsidRPr="009B249C">
        <w:rPr>
          <w:bCs/>
          <w:szCs w:val="20"/>
        </w:rPr>
        <w:t>The purpose of CEIAG at Aylesford School is to:</w:t>
      </w:r>
    </w:p>
    <w:p w14:paraId="5AF9A211" w14:textId="77777777" w:rsidR="009B249C" w:rsidRPr="009B249C" w:rsidRDefault="009B249C" w:rsidP="009B249C">
      <w:pPr>
        <w:numPr>
          <w:ilvl w:val="0"/>
          <w:numId w:val="17"/>
        </w:numPr>
        <w:rPr>
          <w:szCs w:val="20"/>
        </w:rPr>
      </w:pPr>
      <w:r w:rsidRPr="009B249C">
        <w:rPr>
          <w:szCs w:val="20"/>
        </w:rPr>
        <w:t>Empower students to access, secure and sustain fulfilling employment and further education opportunities.</w:t>
      </w:r>
    </w:p>
    <w:p w14:paraId="35CB5A51" w14:textId="77777777" w:rsidR="009B249C" w:rsidRPr="009B249C" w:rsidRDefault="009B249C" w:rsidP="009B249C">
      <w:pPr>
        <w:numPr>
          <w:ilvl w:val="0"/>
          <w:numId w:val="17"/>
        </w:numPr>
        <w:rPr>
          <w:szCs w:val="20"/>
        </w:rPr>
      </w:pPr>
      <w:r w:rsidRPr="009B249C">
        <w:rPr>
          <w:szCs w:val="20"/>
        </w:rPr>
        <w:t>Raise aspirations, encouraging all students to realise their full potential and thereby contributing to improved academic outcomes.</w:t>
      </w:r>
    </w:p>
    <w:p w14:paraId="55549DBB" w14:textId="77777777" w:rsidR="009B249C" w:rsidRPr="009B249C" w:rsidRDefault="009B249C" w:rsidP="009B249C">
      <w:pPr>
        <w:numPr>
          <w:ilvl w:val="0"/>
          <w:numId w:val="17"/>
        </w:numPr>
        <w:rPr>
          <w:szCs w:val="20"/>
        </w:rPr>
      </w:pPr>
      <w:r w:rsidRPr="009B249C">
        <w:rPr>
          <w:szCs w:val="20"/>
        </w:rPr>
        <w:t>Support the development of knowledge, skills, and confidence required to make informed career and life choices.</w:t>
      </w:r>
    </w:p>
    <w:p w14:paraId="094A7E2C" w14:textId="41BF0785" w:rsidR="009B249C" w:rsidRPr="009B249C" w:rsidRDefault="009B249C" w:rsidP="009B249C">
      <w:pPr>
        <w:numPr>
          <w:ilvl w:val="0"/>
          <w:numId w:val="17"/>
        </w:numPr>
        <w:rPr>
          <w:szCs w:val="20"/>
        </w:rPr>
      </w:pPr>
      <w:r w:rsidRPr="009B249C">
        <w:rPr>
          <w:szCs w:val="20"/>
        </w:rPr>
        <w:t>Promote equality of opportunity, challenge stereotypes, and support social mobility for all learners.</w:t>
      </w:r>
    </w:p>
    <w:p w14:paraId="1AD40CE5" w14:textId="77777777" w:rsidR="009B249C" w:rsidRDefault="009B249C" w:rsidP="00C452C6">
      <w:pPr>
        <w:ind w:left="360"/>
        <w:rPr>
          <w:b/>
          <w:sz w:val="24"/>
        </w:rPr>
      </w:pPr>
    </w:p>
    <w:p w14:paraId="23F8D201" w14:textId="09D711D7" w:rsidR="00C452C6" w:rsidRPr="006233C1" w:rsidRDefault="006233C1" w:rsidP="00C452C6">
      <w:pPr>
        <w:ind w:left="360"/>
        <w:rPr>
          <w:b/>
          <w:sz w:val="24"/>
        </w:rPr>
      </w:pPr>
      <w:r w:rsidRPr="006233C1">
        <w:rPr>
          <w:b/>
          <w:sz w:val="24"/>
        </w:rPr>
        <w:t>1.2 Aims</w:t>
      </w:r>
    </w:p>
    <w:p w14:paraId="229F74F8" w14:textId="77777777" w:rsidR="009B249C" w:rsidRPr="009B249C" w:rsidRDefault="009B249C" w:rsidP="009B249C">
      <w:r w:rsidRPr="009B249C">
        <w:t>Aylesford School is proud to work in partnership with colleges, higher education providers, employers, parents/carers, and a range of external agencies to deliver a comprehensive and effective CEIAG programme.</w:t>
      </w:r>
    </w:p>
    <w:p w14:paraId="6DEF151C" w14:textId="6D90D1A4" w:rsidR="009E70B3" w:rsidRDefault="009B249C" w:rsidP="009B249C">
      <w:r w:rsidRPr="009B249C">
        <w:t>Our careers provision aims to:</w:t>
      </w:r>
    </w:p>
    <w:p w14:paraId="1F3B942D" w14:textId="1CF0104B" w:rsidR="009B249C" w:rsidRPr="009B249C" w:rsidRDefault="009B249C" w:rsidP="009B249C">
      <w:pPr>
        <w:pStyle w:val="ListParagraph"/>
        <w:numPr>
          <w:ilvl w:val="0"/>
          <w:numId w:val="18"/>
        </w:numPr>
      </w:pPr>
      <w:r w:rsidRPr="009B249C">
        <w:rPr>
          <w:b/>
          <w:bCs/>
        </w:rPr>
        <w:t>Provide students with high</w:t>
      </w:r>
      <w:r>
        <w:rPr>
          <w:b/>
          <w:bCs/>
        </w:rPr>
        <w:t xml:space="preserve"> </w:t>
      </w:r>
      <w:r w:rsidRPr="009B249C">
        <w:rPr>
          <w:b/>
          <w:bCs/>
        </w:rPr>
        <w:t>quality, relevant careers information and guidance</w:t>
      </w:r>
      <w:r w:rsidRPr="009B249C">
        <w:t xml:space="preserve"> through curriculum</w:t>
      </w:r>
      <w:r>
        <w:t xml:space="preserve"> </w:t>
      </w:r>
      <w:r w:rsidRPr="009B249C">
        <w:t>linked learning, personalised advice, and a broad programme of events, activities, and educational visits.</w:t>
      </w:r>
    </w:p>
    <w:p w14:paraId="4BB04DCD" w14:textId="77777777" w:rsidR="009B249C" w:rsidRPr="009B249C" w:rsidRDefault="009B249C" w:rsidP="009B249C">
      <w:pPr>
        <w:pStyle w:val="ListParagraph"/>
        <w:numPr>
          <w:ilvl w:val="0"/>
          <w:numId w:val="18"/>
        </w:numPr>
      </w:pPr>
      <w:r w:rsidRPr="009B249C">
        <w:rPr>
          <w:b/>
          <w:bCs/>
        </w:rPr>
        <w:t>Ensure students understand the full range of post-16 and post-18 pathways</w:t>
      </w:r>
      <w:r w:rsidRPr="009B249C">
        <w:t>, including academic, vocational, technical, and apprenticeship routes, supported by impartial, individualised guidance to help them make informed choices.</w:t>
      </w:r>
    </w:p>
    <w:p w14:paraId="45A587F1" w14:textId="77777777" w:rsidR="009B249C" w:rsidRPr="009B249C" w:rsidRDefault="009B249C" w:rsidP="009B249C">
      <w:pPr>
        <w:pStyle w:val="ListParagraph"/>
        <w:numPr>
          <w:ilvl w:val="0"/>
          <w:numId w:val="18"/>
        </w:numPr>
      </w:pPr>
      <w:r w:rsidRPr="009B249C">
        <w:rPr>
          <w:b/>
          <w:bCs/>
        </w:rPr>
        <w:t>Offer personalised, impartial support</w:t>
      </w:r>
      <w:r w:rsidRPr="009B249C">
        <w:t xml:space="preserve"> to help each student identify and pursue the pathway that best suits their aspirations, abilities, and interests.</w:t>
      </w:r>
    </w:p>
    <w:p w14:paraId="7A5CF38D" w14:textId="77777777" w:rsidR="009B249C" w:rsidRPr="009B249C" w:rsidRDefault="009B249C" w:rsidP="009B249C">
      <w:pPr>
        <w:pStyle w:val="ListParagraph"/>
        <w:numPr>
          <w:ilvl w:val="0"/>
          <w:numId w:val="18"/>
        </w:numPr>
      </w:pPr>
      <w:r w:rsidRPr="009B249C">
        <w:rPr>
          <w:b/>
          <w:bCs/>
        </w:rPr>
        <w:t>Give students meaningful exposure to the world of work</w:t>
      </w:r>
      <w:r w:rsidRPr="009B249C">
        <w:t xml:space="preserve"> through structured work shadowing opportunities in Years 7, 8, 9, 10 and 12, as well as workplace visits linked to the curriculum.</w:t>
      </w:r>
    </w:p>
    <w:p w14:paraId="5AF8619B" w14:textId="77777777" w:rsidR="009B249C" w:rsidRPr="009B249C" w:rsidRDefault="009B249C" w:rsidP="009B249C">
      <w:pPr>
        <w:pStyle w:val="ListParagraph"/>
        <w:numPr>
          <w:ilvl w:val="0"/>
          <w:numId w:val="18"/>
        </w:numPr>
      </w:pPr>
      <w:r w:rsidRPr="009B249C">
        <w:rPr>
          <w:b/>
          <w:bCs/>
        </w:rPr>
        <w:t>Encourage students to reflect on their strengths, skills, and motivations</w:t>
      </w:r>
      <w:r w:rsidRPr="009B249C">
        <w:t>, and to understand how these can shape their future career planning and decisions.</w:t>
      </w:r>
    </w:p>
    <w:p w14:paraId="6706686F" w14:textId="77777777" w:rsidR="009B249C" w:rsidRDefault="009B249C" w:rsidP="009E70B3">
      <w:pPr>
        <w:pStyle w:val="ListParagraph"/>
        <w:ind w:left="1080"/>
      </w:pPr>
    </w:p>
    <w:p w14:paraId="0809B21C" w14:textId="77777777" w:rsidR="005C290C" w:rsidRDefault="005C290C" w:rsidP="009E70B3">
      <w:pPr>
        <w:pStyle w:val="ListParagraph"/>
        <w:ind w:left="1080"/>
      </w:pPr>
    </w:p>
    <w:p w14:paraId="391C9BAA" w14:textId="39FF4566" w:rsidR="001E2935" w:rsidRPr="009B249C" w:rsidRDefault="001E2935" w:rsidP="009B249C">
      <w:pPr>
        <w:pStyle w:val="ListParagraph"/>
        <w:numPr>
          <w:ilvl w:val="0"/>
          <w:numId w:val="16"/>
        </w:numPr>
        <w:rPr>
          <w:b/>
          <w:sz w:val="28"/>
        </w:rPr>
      </w:pPr>
      <w:r w:rsidRPr="00501459">
        <w:rPr>
          <w:b/>
          <w:sz w:val="28"/>
        </w:rPr>
        <w:lastRenderedPageBreak/>
        <w:t>Leadership</w:t>
      </w:r>
    </w:p>
    <w:p w14:paraId="421D97FD" w14:textId="77777777" w:rsidR="009B249C" w:rsidRPr="009B249C" w:rsidRDefault="009B249C" w:rsidP="009B249C">
      <w:r w:rsidRPr="009B249C">
        <w:t>The Careers Education, Information, Advice and Guidance (CEIAG) provision at Aylesford School is led and coordinated by the designated Careers Leader. This individual is responsible for the strategic planning, implementation, and continuous development of careers provision across the school.</w:t>
      </w:r>
    </w:p>
    <w:p w14:paraId="74965C70" w14:textId="38D2EAB2" w:rsidR="009B249C" w:rsidRDefault="009B249C" w:rsidP="009B249C">
      <w:r w:rsidRPr="009B249C">
        <w:t>The Careers Leader works collaboratively with teaching and support staff, students, parents/carers, local employers, further and higher education providers, and external agencies to ensure a coherent and impactful programme that meets the needs of all learners.</w:t>
      </w:r>
    </w:p>
    <w:p w14:paraId="44C2082F" w14:textId="77777777" w:rsidR="00460946" w:rsidRDefault="00460946" w:rsidP="00407986">
      <w:pPr>
        <w:pStyle w:val="ListParagraph"/>
      </w:pPr>
    </w:p>
    <w:tbl>
      <w:tblPr>
        <w:tblStyle w:val="TableGrid"/>
        <w:tblW w:w="0" w:type="auto"/>
        <w:tblInd w:w="720" w:type="dxa"/>
        <w:tblLook w:val="04A0" w:firstRow="1" w:lastRow="0" w:firstColumn="1" w:lastColumn="0" w:noHBand="0" w:noVBand="1"/>
      </w:tblPr>
      <w:tblGrid>
        <w:gridCol w:w="4195"/>
        <w:gridCol w:w="4101"/>
      </w:tblGrid>
      <w:tr w:rsidR="00460946" w14:paraId="741FA950" w14:textId="77777777" w:rsidTr="00501459">
        <w:tc>
          <w:tcPr>
            <w:tcW w:w="4195" w:type="dxa"/>
          </w:tcPr>
          <w:p w14:paraId="62C0C592" w14:textId="77777777" w:rsidR="00460946" w:rsidRPr="000F55DD" w:rsidRDefault="000F55DD" w:rsidP="00407986">
            <w:pPr>
              <w:pStyle w:val="ListParagraph"/>
              <w:ind w:left="0"/>
              <w:rPr>
                <w:b/>
              </w:rPr>
            </w:pPr>
            <w:r w:rsidRPr="000F55DD">
              <w:rPr>
                <w:b/>
              </w:rPr>
              <w:t>Role</w:t>
            </w:r>
          </w:p>
        </w:tc>
        <w:tc>
          <w:tcPr>
            <w:tcW w:w="4101" w:type="dxa"/>
          </w:tcPr>
          <w:p w14:paraId="18684B5B" w14:textId="77777777" w:rsidR="00460946" w:rsidRPr="000F55DD" w:rsidRDefault="000F55DD" w:rsidP="00460946">
            <w:pPr>
              <w:pStyle w:val="ListParagraph"/>
              <w:ind w:left="0"/>
              <w:rPr>
                <w:b/>
              </w:rPr>
            </w:pPr>
            <w:r w:rsidRPr="000F55DD">
              <w:rPr>
                <w:b/>
              </w:rPr>
              <w:t>Name</w:t>
            </w:r>
          </w:p>
        </w:tc>
      </w:tr>
      <w:tr w:rsidR="000F55DD" w14:paraId="5A41A49F" w14:textId="77777777" w:rsidTr="00501459">
        <w:tc>
          <w:tcPr>
            <w:tcW w:w="4195" w:type="dxa"/>
          </w:tcPr>
          <w:p w14:paraId="7DAF584C" w14:textId="77777777" w:rsidR="000F55DD" w:rsidRDefault="000F55DD" w:rsidP="005F4204">
            <w:pPr>
              <w:pStyle w:val="ListParagraph"/>
              <w:ind w:left="0"/>
            </w:pPr>
            <w:r>
              <w:t>Careers Leader</w:t>
            </w:r>
          </w:p>
        </w:tc>
        <w:tc>
          <w:tcPr>
            <w:tcW w:w="4101" w:type="dxa"/>
          </w:tcPr>
          <w:p w14:paraId="4ADB4DBA" w14:textId="77777777" w:rsidR="000F55DD" w:rsidRDefault="00156BAF" w:rsidP="00156BAF">
            <w:pPr>
              <w:pStyle w:val="ListParagraph"/>
              <w:ind w:left="0"/>
            </w:pPr>
            <w:r>
              <w:t>Mr Doggett</w:t>
            </w:r>
          </w:p>
        </w:tc>
      </w:tr>
      <w:tr w:rsidR="000F55DD" w14:paraId="06891A59" w14:textId="77777777" w:rsidTr="00501459">
        <w:tc>
          <w:tcPr>
            <w:tcW w:w="4195" w:type="dxa"/>
          </w:tcPr>
          <w:p w14:paraId="23554F9D" w14:textId="77777777" w:rsidR="000F55DD" w:rsidRDefault="000F55DD" w:rsidP="005F4204">
            <w:pPr>
              <w:pStyle w:val="ListParagraph"/>
              <w:ind w:left="0"/>
            </w:pPr>
            <w:r>
              <w:t>Senior Leadership Team Link</w:t>
            </w:r>
          </w:p>
        </w:tc>
        <w:tc>
          <w:tcPr>
            <w:tcW w:w="4101" w:type="dxa"/>
          </w:tcPr>
          <w:p w14:paraId="1ADC0A70" w14:textId="77777777" w:rsidR="000F55DD" w:rsidRDefault="00156BAF" w:rsidP="00156BAF">
            <w:pPr>
              <w:pStyle w:val="ListParagraph"/>
              <w:ind w:left="0"/>
            </w:pPr>
            <w:r>
              <w:t>Mr Wright</w:t>
            </w:r>
          </w:p>
        </w:tc>
      </w:tr>
      <w:tr w:rsidR="000F55DD" w14:paraId="42D5A814" w14:textId="77777777" w:rsidTr="00501459">
        <w:tc>
          <w:tcPr>
            <w:tcW w:w="4195" w:type="dxa"/>
          </w:tcPr>
          <w:p w14:paraId="54C46986" w14:textId="77777777" w:rsidR="000F55DD" w:rsidRDefault="000F55DD" w:rsidP="005F4204">
            <w:pPr>
              <w:pStyle w:val="ListParagraph"/>
              <w:ind w:left="0"/>
            </w:pPr>
            <w:r w:rsidRPr="005C290C">
              <w:t>Link Governor</w:t>
            </w:r>
          </w:p>
        </w:tc>
        <w:tc>
          <w:tcPr>
            <w:tcW w:w="4101" w:type="dxa"/>
          </w:tcPr>
          <w:p w14:paraId="0E11256E" w14:textId="4AB9AE1F" w:rsidR="000F55DD" w:rsidRDefault="009B249C" w:rsidP="005F4204">
            <w:pPr>
              <w:pStyle w:val="ListParagraph"/>
              <w:ind w:left="0"/>
            </w:pPr>
            <w:r>
              <w:t>Maria Abbott</w:t>
            </w:r>
          </w:p>
        </w:tc>
      </w:tr>
      <w:tr w:rsidR="000F55DD" w14:paraId="5668D278" w14:textId="77777777" w:rsidTr="00501459">
        <w:tc>
          <w:tcPr>
            <w:tcW w:w="4195" w:type="dxa"/>
          </w:tcPr>
          <w:p w14:paraId="199DED2C" w14:textId="77777777" w:rsidR="000F55DD" w:rsidRDefault="00C0454A" w:rsidP="005F4204">
            <w:pPr>
              <w:pStyle w:val="ListParagraph"/>
              <w:ind w:left="0"/>
            </w:pPr>
            <w:r>
              <w:t>Heads of Year</w:t>
            </w:r>
          </w:p>
        </w:tc>
        <w:tc>
          <w:tcPr>
            <w:tcW w:w="4101" w:type="dxa"/>
          </w:tcPr>
          <w:p w14:paraId="5AA065A8" w14:textId="3BE0708C" w:rsidR="000F55DD" w:rsidRDefault="00156BAF" w:rsidP="001E52A6">
            <w:pPr>
              <w:pStyle w:val="ListParagraph"/>
              <w:ind w:left="0"/>
            </w:pPr>
            <w:r>
              <w:t xml:space="preserve">Mr </w:t>
            </w:r>
            <w:r w:rsidR="00501459">
              <w:t>Blair</w:t>
            </w:r>
            <w:r>
              <w:t xml:space="preserve">, </w:t>
            </w:r>
            <w:r w:rsidR="009B249C">
              <w:t>Mr Green</w:t>
            </w:r>
            <w:r w:rsidR="00475A69">
              <w:t xml:space="preserve">, </w:t>
            </w:r>
            <w:r w:rsidR="001E52A6">
              <w:t>M</w:t>
            </w:r>
            <w:r w:rsidR="00501459">
              <w:t>r</w:t>
            </w:r>
            <w:r w:rsidR="00DF30A2">
              <w:t xml:space="preserve"> </w:t>
            </w:r>
            <w:proofErr w:type="spellStart"/>
            <w:r w:rsidR="00DF30A2">
              <w:t>Weare</w:t>
            </w:r>
            <w:proofErr w:type="spellEnd"/>
            <w:r w:rsidR="001E52A6">
              <w:t xml:space="preserve">, </w:t>
            </w:r>
            <w:r>
              <w:t xml:space="preserve">Mr </w:t>
            </w:r>
            <w:r w:rsidR="009B249C">
              <w:t>Matthews</w:t>
            </w:r>
            <w:r>
              <w:t xml:space="preserve">, Mr </w:t>
            </w:r>
            <w:proofErr w:type="spellStart"/>
            <w:r w:rsidR="00501459">
              <w:t>Axford</w:t>
            </w:r>
            <w:proofErr w:type="spellEnd"/>
            <w:r>
              <w:t>, and Mr</w:t>
            </w:r>
            <w:r w:rsidR="001E52A6">
              <w:t>s Dighton</w:t>
            </w:r>
          </w:p>
        </w:tc>
      </w:tr>
    </w:tbl>
    <w:p w14:paraId="0E5F29C7" w14:textId="77777777" w:rsidR="009B6858" w:rsidRPr="00DF30A2" w:rsidRDefault="009B6858" w:rsidP="00DF30A2">
      <w:pPr>
        <w:rPr>
          <w:b/>
          <w:sz w:val="28"/>
        </w:rPr>
      </w:pPr>
    </w:p>
    <w:p w14:paraId="73D26525" w14:textId="77777777" w:rsidR="00156BAF" w:rsidRPr="00651AAE" w:rsidRDefault="00156BAF" w:rsidP="00501459">
      <w:pPr>
        <w:pStyle w:val="ListParagraph"/>
        <w:numPr>
          <w:ilvl w:val="0"/>
          <w:numId w:val="16"/>
        </w:numPr>
        <w:rPr>
          <w:b/>
          <w:sz w:val="28"/>
        </w:rPr>
      </w:pPr>
      <w:r>
        <w:rPr>
          <w:b/>
          <w:sz w:val="28"/>
        </w:rPr>
        <w:t>Provision</w:t>
      </w:r>
    </w:p>
    <w:p w14:paraId="697F42EF" w14:textId="77777777" w:rsidR="00711F1C" w:rsidRDefault="00DF30A2" w:rsidP="0083224E">
      <w:pPr>
        <w:ind w:left="360"/>
        <w:rPr>
          <w:b/>
          <w:sz w:val="24"/>
        </w:rPr>
      </w:pPr>
      <w:r>
        <w:rPr>
          <w:b/>
          <w:sz w:val="24"/>
        </w:rPr>
        <w:t>3</w:t>
      </w:r>
      <w:r w:rsidR="0083224E" w:rsidRPr="0083224E">
        <w:rPr>
          <w:b/>
          <w:sz w:val="24"/>
        </w:rPr>
        <w:t xml:space="preserve">.1 </w:t>
      </w:r>
      <w:r w:rsidR="00711F1C">
        <w:rPr>
          <w:b/>
          <w:sz w:val="24"/>
        </w:rPr>
        <w:t>Student Entitlement</w:t>
      </w:r>
    </w:p>
    <w:p w14:paraId="0424AD3A" w14:textId="77777777" w:rsidR="009B249C" w:rsidRPr="009B249C" w:rsidRDefault="009B249C" w:rsidP="009B249C">
      <w:r w:rsidRPr="009B249C">
        <w:t>All students at Aylesford School are entitled to a structured and progressive programme of Careers Education, Information, Advice and Guidance (CEIAG) that supports their personal development and future progression throughout their time at school.</w:t>
      </w:r>
    </w:p>
    <w:p w14:paraId="0E164ABD" w14:textId="77777777" w:rsidR="009B249C" w:rsidRPr="009B249C" w:rsidRDefault="009B249C" w:rsidP="009B249C">
      <w:r w:rsidRPr="009B249C">
        <w:t>This entitlement includes access to:</w:t>
      </w:r>
    </w:p>
    <w:p w14:paraId="2C7EC57F" w14:textId="5B0F4CBE" w:rsidR="009B249C" w:rsidRPr="009B249C" w:rsidRDefault="009B249C" w:rsidP="009B249C">
      <w:pPr>
        <w:numPr>
          <w:ilvl w:val="0"/>
          <w:numId w:val="19"/>
        </w:numPr>
      </w:pPr>
      <w:r>
        <w:rPr>
          <w:b/>
          <w:bCs/>
        </w:rPr>
        <w:t>A q</w:t>
      </w:r>
      <w:r w:rsidRPr="009B249C">
        <w:rPr>
          <w:b/>
          <w:bCs/>
        </w:rPr>
        <w:t>ualified careers adviser</w:t>
      </w:r>
      <w:r w:rsidRPr="009B249C">
        <w:t xml:space="preserve"> through group sessions and individual guidance interviews, tailored to support informed and aspirational decision-making.</w:t>
      </w:r>
    </w:p>
    <w:p w14:paraId="166B7201" w14:textId="77777777" w:rsidR="009B249C" w:rsidRPr="009B249C" w:rsidRDefault="009B249C" w:rsidP="009B249C">
      <w:pPr>
        <w:numPr>
          <w:ilvl w:val="0"/>
          <w:numId w:val="19"/>
        </w:numPr>
      </w:pPr>
      <w:r w:rsidRPr="009B249C">
        <w:rPr>
          <w:b/>
          <w:bCs/>
        </w:rPr>
        <w:t>Assemblies and presentations</w:t>
      </w:r>
      <w:r w:rsidRPr="009B249C">
        <w:t xml:space="preserve"> delivered by a range of education and training providers, helping students understand the full breadth of post-16 and post-18 options.</w:t>
      </w:r>
    </w:p>
    <w:p w14:paraId="3301542D" w14:textId="77777777" w:rsidR="009B249C" w:rsidRPr="009B249C" w:rsidRDefault="009B249C" w:rsidP="009B249C">
      <w:pPr>
        <w:numPr>
          <w:ilvl w:val="0"/>
          <w:numId w:val="19"/>
        </w:numPr>
      </w:pPr>
      <w:r w:rsidRPr="009B249C">
        <w:rPr>
          <w:b/>
          <w:bCs/>
        </w:rPr>
        <w:t>Up-to-date careers information and digital resources</w:t>
      </w:r>
      <w:r w:rsidRPr="009B249C">
        <w:t>, including computer-based careers platforms and tools that encourage independent exploration and planning.</w:t>
      </w:r>
    </w:p>
    <w:p w14:paraId="55070495" w14:textId="77777777" w:rsidR="009B249C" w:rsidRPr="009B249C" w:rsidRDefault="009B249C" w:rsidP="009B249C">
      <w:pPr>
        <w:numPr>
          <w:ilvl w:val="0"/>
          <w:numId w:val="19"/>
        </w:numPr>
      </w:pPr>
      <w:r w:rsidRPr="009B249C">
        <w:rPr>
          <w:b/>
          <w:bCs/>
        </w:rPr>
        <w:t>Information and guidance available through the school website</w:t>
      </w:r>
      <w:r w:rsidRPr="009B249C">
        <w:t>, ensuring both students and parents/carers can access careers support and resources at any time.</w:t>
      </w:r>
    </w:p>
    <w:p w14:paraId="404A828B" w14:textId="77777777" w:rsidR="009B249C" w:rsidRDefault="009B249C" w:rsidP="009B249C"/>
    <w:p w14:paraId="0374543F" w14:textId="77777777" w:rsidR="0083224E" w:rsidRPr="0083224E" w:rsidRDefault="00DF30A2" w:rsidP="0083224E">
      <w:pPr>
        <w:ind w:left="360"/>
        <w:rPr>
          <w:b/>
          <w:sz w:val="24"/>
        </w:rPr>
      </w:pPr>
      <w:r>
        <w:rPr>
          <w:b/>
          <w:sz w:val="24"/>
        </w:rPr>
        <w:t>3</w:t>
      </w:r>
      <w:r w:rsidR="00711F1C">
        <w:rPr>
          <w:b/>
          <w:sz w:val="24"/>
        </w:rPr>
        <w:t xml:space="preserve">.2 </w:t>
      </w:r>
      <w:r w:rsidR="0083224E" w:rsidRPr="0083224E">
        <w:rPr>
          <w:b/>
          <w:sz w:val="24"/>
        </w:rPr>
        <w:t>Key Stages</w:t>
      </w:r>
    </w:p>
    <w:p w14:paraId="704D0B6F" w14:textId="77777777" w:rsidR="00E0548C" w:rsidRPr="00E0548C" w:rsidRDefault="00E0548C" w:rsidP="00E0548C">
      <w:r w:rsidRPr="00E0548C">
        <w:t>Aylesford School’s CEIAG provision is structured to support students at every stage of their educational journey. Targeted and age-appropriate guidance is delivered at key transition points to ensure that all students develop the knowledge, skills, and confidence necessary to make informed decisions about their future pathways.</w:t>
      </w:r>
    </w:p>
    <w:p w14:paraId="6D9CAEEF" w14:textId="77777777" w:rsidR="00E0548C" w:rsidRPr="00E0548C" w:rsidRDefault="00E0548C" w:rsidP="00E0548C">
      <w:pPr>
        <w:rPr>
          <w:b/>
          <w:bCs/>
          <w:sz w:val="24"/>
          <w:szCs w:val="24"/>
        </w:rPr>
      </w:pPr>
      <w:r w:rsidRPr="00E0548C">
        <w:rPr>
          <w:b/>
          <w:bCs/>
          <w:sz w:val="24"/>
          <w:szCs w:val="24"/>
        </w:rPr>
        <w:lastRenderedPageBreak/>
        <w:t>Key Stage 3 Provision (Years 7 and 8)</w:t>
      </w:r>
    </w:p>
    <w:p w14:paraId="39AF3DE8" w14:textId="07541F75" w:rsidR="00E0548C" w:rsidRDefault="00E0548C" w:rsidP="00E0548C">
      <w:r w:rsidRPr="00E0548C">
        <w:t>During Key Stage 3, the focus is on self-awareness, career exploration, and developing a broad understanding of the world of work. Students are encouraged to begin identifying their interests, motivations, and potential career aspirations. Provision includes:</w:t>
      </w:r>
    </w:p>
    <w:p w14:paraId="454A0D45" w14:textId="77777777" w:rsidR="00E0548C" w:rsidRPr="00E0548C" w:rsidRDefault="00E0548C" w:rsidP="00E0548C">
      <w:pPr>
        <w:numPr>
          <w:ilvl w:val="0"/>
          <w:numId w:val="20"/>
        </w:numPr>
      </w:pPr>
      <w:r w:rsidRPr="00E0548C">
        <w:rPr>
          <w:b/>
          <w:bCs/>
        </w:rPr>
        <w:t>Guidance from subject teachers</w:t>
      </w:r>
      <w:r w:rsidRPr="00E0548C">
        <w:t xml:space="preserve"> to support informed decision-making around GCSE option choices.</w:t>
      </w:r>
    </w:p>
    <w:p w14:paraId="44EBE094" w14:textId="77777777" w:rsidR="00E0548C" w:rsidRPr="00E0548C" w:rsidRDefault="00E0548C" w:rsidP="00E0548C">
      <w:pPr>
        <w:numPr>
          <w:ilvl w:val="0"/>
          <w:numId w:val="20"/>
        </w:numPr>
      </w:pPr>
      <w:r w:rsidRPr="00E0548C">
        <w:rPr>
          <w:b/>
          <w:bCs/>
        </w:rPr>
        <w:t>Additional subject information</w:t>
      </w:r>
      <w:r w:rsidRPr="00E0548C">
        <w:t xml:space="preserve"> through the school’s Options Booklet, helping students consider the implications of their choices for future study and employment.</w:t>
      </w:r>
    </w:p>
    <w:p w14:paraId="28135B18" w14:textId="3B45DD45" w:rsidR="00E0548C" w:rsidRPr="00E0548C" w:rsidRDefault="00E0548C" w:rsidP="00E0548C">
      <w:pPr>
        <w:numPr>
          <w:ilvl w:val="0"/>
          <w:numId w:val="20"/>
        </w:numPr>
      </w:pPr>
      <w:r w:rsidRPr="00E0548C">
        <w:rPr>
          <w:b/>
          <w:bCs/>
        </w:rPr>
        <w:t>Careers-focused presentations and workshops</w:t>
      </w:r>
      <w:r w:rsidRPr="00E0548C">
        <w:t xml:space="preserve"> covering topics such as gender stereotypes in the workplace, careers in </w:t>
      </w:r>
      <w:r>
        <w:t>various job sectors</w:t>
      </w:r>
      <w:r w:rsidRPr="00E0548C">
        <w:t>, entrepreneurship, and the importance of STEM subjects.</w:t>
      </w:r>
    </w:p>
    <w:p w14:paraId="099A6C95" w14:textId="77777777" w:rsidR="00E0548C" w:rsidRPr="00E0548C" w:rsidRDefault="00E0548C" w:rsidP="00E0548C">
      <w:pPr>
        <w:numPr>
          <w:ilvl w:val="0"/>
          <w:numId w:val="20"/>
        </w:numPr>
      </w:pPr>
      <w:r w:rsidRPr="00E0548C">
        <w:rPr>
          <w:b/>
          <w:bCs/>
        </w:rPr>
        <w:t>Work shadowing days</w:t>
      </w:r>
      <w:r w:rsidRPr="00E0548C">
        <w:t>, offering early exposure to real-world work environments and an opportunity to observe different job roles in action.</w:t>
      </w:r>
    </w:p>
    <w:p w14:paraId="39552EBD" w14:textId="77777777" w:rsidR="00E0548C" w:rsidRPr="00520352" w:rsidRDefault="00E0548C" w:rsidP="00E0548C"/>
    <w:p w14:paraId="6DE62709" w14:textId="77777777" w:rsidR="00E0548C" w:rsidRPr="00E0548C" w:rsidRDefault="00E0548C" w:rsidP="00E0548C">
      <w:pPr>
        <w:rPr>
          <w:b/>
          <w:bCs/>
          <w:sz w:val="24"/>
          <w:szCs w:val="24"/>
        </w:rPr>
      </w:pPr>
      <w:r w:rsidRPr="00E0548C">
        <w:rPr>
          <w:b/>
          <w:bCs/>
          <w:sz w:val="24"/>
          <w:szCs w:val="24"/>
        </w:rPr>
        <w:t>Key Stage 4 Provision (Years 9–11)</w:t>
      </w:r>
    </w:p>
    <w:p w14:paraId="0B517C25" w14:textId="77777777" w:rsidR="00E0548C" w:rsidRPr="00E0548C" w:rsidRDefault="00E0548C" w:rsidP="00E0548C">
      <w:r w:rsidRPr="00E0548C">
        <w:t>During Key Stage 4, the CEIAG programme builds on earlier learning and becomes more focused on decision-making, employability skills, and post-16 planning. Each year has a specific focus:</w:t>
      </w:r>
    </w:p>
    <w:p w14:paraId="501449DE" w14:textId="77777777" w:rsidR="00E0548C" w:rsidRPr="00E0548C" w:rsidRDefault="00E0548C" w:rsidP="00E0548C">
      <w:pPr>
        <w:numPr>
          <w:ilvl w:val="0"/>
          <w:numId w:val="21"/>
        </w:numPr>
      </w:pPr>
      <w:r w:rsidRPr="00E0548C">
        <w:rPr>
          <w:b/>
          <w:bCs/>
        </w:rPr>
        <w:t>Year 9</w:t>
      </w:r>
      <w:r w:rsidRPr="00E0548C">
        <w:t>: Raising aspirations and exploring career pathways in greater depth.</w:t>
      </w:r>
    </w:p>
    <w:p w14:paraId="3562ACDB" w14:textId="77777777" w:rsidR="00E0548C" w:rsidRPr="00E0548C" w:rsidRDefault="00E0548C" w:rsidP="00E0548C">
      <w:pPr>
        <w:numPr>
          <w:ilvl w:val="0"/>
          <w:numId w:val="21"/>
        </w:numPr>
      </w:pPr>
      <w:r w:rsidRPr="00E0548C">
        <w:rPr>
          <w:b/>
          <w:bCs/>
        </w:rPr>
        <w:t>Year 10</w:t>
      </w:r>
      <w:r w:rsidRPr="00E0548C">
        <w:t>: Developing employability skills, particularly self-presentation and understanding employer expectations.</w:t>
      </w:r>
    </w:p>
    <w:p w14:paraId="258E13EB" w14:textId="77777777" w:rsidR="00E0548C" w:rsidRPr="00E0548C" w:rsidRDefault="00E0548C" w:rsidP="00E0548C">
      <w:pPr>
        <w:numPr>
          <w:ilvl w:val="0"/>
          <w:numId w:val="21"/>
        </w:numPr>
      </w:pPr>
      <w:r w:rsidRPr="00E0548C">
        <w:rPr>
          <w:b/>
          <w:bCs/>
        </w:rPr>
        <w:t>Year 11</w:t>
      </w:r>
      <w:r w:rsidRPr="00E0548C">
        <w:t>: Supporting students in making informed post-16 choices and completing applications for further education, training, or employment.</w:t>
      </w:r>
    </w:p>
    <w:p w14:paraId="73FDC5C3" w14:textId="084C3BE0" w:rsidR="001A7601" w:rsidRDefault="00E0548C" w:rsidP="001A7601">
      <w:r w:rsidRPr="00E0548C">
        <w:t>Provision includes:</w:t>
      </w:r>
    </w:p>
    <w:p w14:paraId="72457258" w14:textId="77777777" w:rsidR="00E0548C" w:rsidRPr="00E0548C" w:rsidRDefault="00E0548C" w:rsidP="00E0548C">
      <w:pPr>
        <w:numPr>
          <w:ilvl w:val="0"/>
          <w:numId w:val="22"/>
        </w:numPr>
      </w:pPr>
      <w:r w:rsidRPr="00E0548C">
        <w:rPr>
          <w:b/>
          <w:bCs/>
        </w:rPr>
        <w:t>One-to-one careers guidance interviews</w:t>
      </w:r>
      <w:r w:rsidRPr="00E0548C">
        <w:t xml:space="preserve"> for all Year 11 students with a qualified adviser.</w:t>
      </w:r>
    </w:p>
    <w:p w14:paraId="6D409C44" w14:textId="77777777" w:rsidR="00E0548C" w:rsidRPr="00E0548C" w:rsidRDefault="00E0548C" w:rsidP="00E0548C">
      <w:pPr>
        <w:numPr>
          <w:ilvl w:val="0"/>
          <w:numId w:val="22"/>
        </w:numPr>
      </w:pPr>
      <w:r w:rsidRPr="00E0548C">
        <w:rPr>
          <w:b/>
          <w:bCs/>
        </w:rPr>
        <w:t>Work shadowing days</w:t>
      </w:r>
      <w:r w:rsidRPr="00E0548C">
        <w:t xml:space="preserve"> to provide meaningful insights into working environments.</w:t>
      </w:r>
    </w:p>
    <w:p w14:paraId="62B7D81C" w14:textId="77777777" w:rsidR="00E0548C" w:rsidRPr="00E0548C" w:rsidRDefault="00E0548C" w:rsidP="00E0548C">
      <w:pPr>
        <w:numPr>
          <w:ilvl w:val="0"/>
          <w:numId w:val="22"/>
        </w:numPr>
      </w:pPr>
      <w:r w:rsidRPr="00E0548C">
        <w:rPr>
          <w:b/>
          <w:bCs/>
        </w:rPr>
        <w:t>Information assemblies</w:t>
      </w:r>
      <w:r w:rsidRPr="00E0548C">
        <w:t xml:space="preserve"> covering post-16 pathways, including Sixth Form, Further Education colleges, apprenticeships, and other training opportunities.</w:t>
      </w:r>
    </w:p>
    <w:p w14:paraId="41EA8A4E" w14:textId="77777777" w:rsidR="00E0548C" w:rsidRPr="00E0548C" w:rsidRDefault="00E0548C" w:rsidP="00E0548C">
      <w:pPr>
        <w:numPr>
          <w:ilvl w:val="0"/>
          <w:numId w:val="22"/>
        </w:numPr>
      </w:pPr>
      <w:r w:rsidRPr="00E0548C">
        <w:rPr>
          <w:b/>
          <w:bCs/>
        </w:rPr>
        <w:t>Support with post-16 applications</w:t>
      </w:r>
      <w:r w:rsidRPr="00E0548C">
        <w:t>, including personal statements, CV writing, and application form guidance.</w:t>
      </w:r>
    </w:p>
    <w:p w14:paraId="5DC8ADE6" w14:textId="77777777" w:rsidR="00E0548C" w:rsidRPr="00E0548C" w:rsidRDefault="00E0548C" w:rsidP="00E0548C">
      <w:pPr>
        <w:numPr>
          <w:ilvl w:val="0"/>
          <w:numId w:val="22"/>
        </w:numPr>
      </w:pPr>
      <w:r w:rsidRPr="00E0548C">
        <w:rPr>
          <w:b/>
          <w:bCs/>
        </w:rPr>
        <w:t>Presentations and workshops</w:t>
      </w:r>
      <w:r w:rsidRPr="00E0548C">
        <w:t xml:space="preserve"> on topics such as making the most of opportunities, the value of work shadowing, and raising aspirations.</w:t>
      </w:r>
    </w:p>
    <w:p w14:paraId="76C4290B" w14:textId="77777777" w:rsidR="00E0548C" w:rsidRPr="00E0548C" w:rsidRDefault="00E0548C" w:rsidP="00E0548C">
      <w:pPr>
        <w:numPr>
          <w:ilvl w:val="0"/>
          <w:numId w:val="22"/>
        </w:numPr>
      </w:pPr>
      <w:r w:rsidRPr="00E0548C">
        <w:rPr>
          <w:b/>
          <w:bCs/>
        </w:rPr>
        <w:t>Optional visits to Further and Higher Education providers</w:t>
      </w:r>
      <w:r w:rsidRPr="00E0548C">
        <w:t>, enabling students to experience different learning environments and explore future options.</w:t>
      </w:r>
    </w:p>
    <w:p w14:paraId="58D4B9ED" w14:textId="77777777" w:rsidR="00E0548C" w:rsidRPr="00E0548C" w:rsidRDefault="00E0548C" w:rsidP="00E0548C">
      <w:pPr>
        <w:rPr>
          <w:b/>
          <w:bCs/>
          <w:sz w:val="24"/>
        </w:rPr>
      </w:pPr>
      <w:r w:rsidRPr="00E0548C">
        <w:rPr>
          <w:b/>
          <w:bCs/>
          <w:sz w:val="24"/>
        </w:rPr>
        <w:lastRenderedPageBreak/>
        <w:t>Key Stage 5 Provision (Years 12–13)</w:t>
      </w:r>
    </w:p>
    <w:p w14:paraId="567329CB" w14:textId="77777777" w:rsidR="00E0548C" w:rsidRPr="00E0548C" w:rsidRDefault="00E0548C" w:rsidP="00E0548C">
      <w:pPr>
        <w:rPr>
          <w:bCs/>
          <w:szCs w:val="20"/>
        </w:rPr>
      </w:pPr>
      <w:r w:rsidRPr="00E0548C">
        <w:rPr>
          <w:bCs/>
          <w:szCs w:val="20"/>
        </w:rPr>
        <w:t>During Key Stage 5, the CEIAG programme is designed to equip students with the knowledge, experience, and confidence needed to make successful transitions into higher education, apprenticeships, or employment. The focus is on informed decision-making, meaningful work experience, and personal development.</w:t>
      </w:r>
    </w:p>
    <w:p w14:paraId="04B978A8" w14:textId="77777777" w:rsidR="00E0548C" w:rsidRDefault="00E0548C" w:rsidP="00E0548C">
      <w:pPr>
        <w:rPr>
          <w:bCs/>
          <w:szCs w:val="20"/>
        </w:rPr>
      </w:pPr>
      <w:r w:rsidRPr="00E0548C">
        <w:rPr>
          <w:bCs/>
          <w:szCs w:val="20"/>
        </w:rPr>
        <w:t>Provision includes:</w:t>
      </w:r>
    </w:p>
    <w:p w14:paraId="2784D7D3" w14:textId="77777777" w:rsidR="00E0548C" w:rsidRPr="00E0548C" w:rsidRDefault="00E0548C" w:rsidP="00E0548C">
      <w:pPr>
        <w:numPr>
          <w:ilvl w:val="0"/>
          <w:numId w:val="24"/>
        </w:numPr>
        <w:rPr>
          <w:bCs/>
          <w:szCs w:val="20"/>
        </w:rPr>
      </w:pPr>
      <w:r w:rsidRPr="00E0548C">
        <w:rPr>
          <w:b/>
          <w:bCs/>
          <w:szCs w:val="20"/>
        </w:rPr>
        <w:t>Individual careers guidance interviews</w:t>
      </w:r>
      <w:r w:rsidRPr="00E0548C">
        <w:rPr>
          <w:bCs/>
          <w:szCs w:val="20"/>
        </w:rPr>
        <w:t xml:space="preserve"> for all students to support planning for life after Sixth Form.</w:t>
      </w:r>
    </w:p>
    <w:p w14:paraId="2E5891B2" w14:textId="77777777" w:rsidR="00E0548C" w:rsidRPr="00E0548C" w:rsidRDefault="00E0548C" w:rsidP="00E0548C">
      <w:pPr>
        <w:numPr>
          <w:ilvl w:val="0"/>
          <w:numId w:val="24"/>
        </w:numPr>
        <w:rPr>
          <w:bCs/>
          <w:szCs w:val="20"/>
        </w:rPr>
      </w:pPr>
      <w:r w:rsidRPr="00E0548C">
        <w:rPr>
          <w:b/>
          <w:bCs/>
          <w:szCs w:val="20"/>
        </w:rPr>
        <w:t>Support with applications</w:t>
      </w:r>
      <w:r w:rsidRPr="00E0548C">
        <w:rPr>
          <w:bCs/>
          <w:szCs w:val="20"/>
        </w:rPr>
        <w:t xml:space="preserve"> for university (including UCAS), apprenticeships, and employment opportunities.</w:t>
      </w:r>
    </w:p>
    <w:p w14:paraId="16DA1D8D" w14:textId="77777777" w:rsidR="00E0548C" w:rsidRPr="00E0548C" w:rsidRDefault="00E0548C" w:rsidP="00E0548C">
      <w:pPr>
        <w:numPr>
          <w:ilvl w:val="0"/>
          <w:numId w:val="24"/>
        </w:numPr>
        <w:rPr>
          <w:bCs/>
          <w:szCs w:val="20"/>
        </w:rPr>
      </w:pPr>
      <w:r w:rsidRPr="00E0548C">
        <w:rPr>
          <w:b/>
          <w:bCs/>
          <w:szCs w:val="20"/>
        </w:rPr>
        <w:t>Work shadowing placements</w:t>
      </w:r>
      <w:r w:rsidRPr="00E0548C">
        <w:rPr>
          <w:bCs/>
          <w:szCs w:val="20"/>
        </w:rPr>
        <w:t>, offering real-world experience to develop understanding of professional environments.</w:t>
      </w:r>
    </w:p>
    <w:p w14:paraId="48AC736D" w14:textId="77777777" w:rsidR="00E0548C" w:rsidRPr="00E0548C" w:rsidRDefault="00E0548C" w:rsidP="00E0548C">
      <w:pPr>
        <w:numPr>
          <w:ilvl w:val="0"/>
          <w:numId w:val="24"/>
        </w:numPr>
        <w:rPr>
          <w:bCs/>
          <w:szCs w:val="20"/>
        </w:rPr>
      </w:pPr>
      <w:r w:rsidRPr="00E0548C">
        <w:rPr>
          <w:b/>
          <w:bCs/>
          <w:szCs w:val="20"/>
        </w:rPr>
        <w:t>Visits to key events</w:t>
      </w:r>
      <w:r w:rsidRPr="00E0548C">
        <w:rPr>
          <w:bCs/>
          <w:szCs w:val="20"/>
        </w:rPr>
        <w:t>, including the UCAS Exhibition Fair and the National Apprenticeship Show.</w:t>
      </w:r>
    </w:p>
    <w:p w14:paraId="1AD50833" w14:textId="77777777" w:rsidR="00E0548C" w:rsidRPr="00E0548C" w:rsidRDefault="00E0548C" w:rsidP="00E0548C">
      <w:pPr>
        <w:numPr>
          <w:ilvl w:val="0"/>
          <w:numId w:val="24"/>
        </w:numPr>
        <w:rPr>
          <w:bCs/>
          <w:szCs w:val="20"/>
        </w:rPr>
      </w:pPr>
      <w:r w:rsidRPr="00E0548C">
        <w:rPr>
          <w:b/>
          <w:bCs/>
          <w:szCs w:val="20"/>
        </w:rPr>
        <w:t>Assemblies and talks</w:t>
      </w:r>
      <w:r w:rsidRPr="00E0548C">
        <w:rPr>
          <w:bCs/>
          <w:szCs w:val="20"/>
        </w:rPr>
        <w:t xml:space="preserve"> covering a wide range of post-18 pathways and opportunities.</w:t>
      </w:r>
    </w:p>
    <w:p w14:paraId="79A839B5" w14:textId="72A7755F" w:rsidR="00E0548C" w:rsidRPr="00E0548C" w:rsidRDefault="00E0548C" w:rsidP="00E0548C">
      <w:pPr>
        <w:numPr>
          <w:ilvl w:val="0"/>
          <w:numId w:val="24"/>
        </w:numPr>
        <w:rPr>
          <w:bCs/>
          <w:szCs w:val="20"/>
        </w:rPr>
      </w:pPr>
      <w:r w:rsidRPr="00E0548C">
        <w:rPr>
          <w:b/>
          <w:bCs/>
          <w:szCs w:val="20"/>
        </w:rPr>
        <w:t>Mock interviews</w:t>
      </w:r>
      <w:r w:rsidRPr="00E0548C">
        <w:rPr>
          <w:bCs/>
          <w:szCs w:val="20"/>
        </w:rPr>
        <w:t xml:space="preserve"> for all Year 1</w:t>
      </w:r>
      <w:r>
        <w:rPr>
          <w:bCs/>
          <w:szCs w:val="20"/>
        </w:rPr>
        <w:t>3</w:t>
      </w:r>
      <w:r w:rsidRPr="00E0548C">
        <w:rPr>
          <w:bCs/>
          <w:szCs w:val="20"/>
        </w:rPr>
        <w:t xml:space="preserve"> students to develop confidence and interview skills.</w:t>
      </w:r>
    </w:p>
    <w:p w14:paraId="45BAC2E6" w14:textId="77777777" w:rsidR="00E0548C" w:rsidRPr="00E0548C" w:rsidRDefault="00E0548C" w:rsidP="00E0548C">
      <w:pPr>
        <w:numPr>
          <w:ilvl w:val="0"/>
          <w:numId w:val="24"/>
        </w:numPr>
        <w:rPr>
          <w:bCs/>
          <w:szCs w:val="20"/>
        </w:rPr>
      </w:pPr>
      <w:r w:rsidRPr="00E0548C">
        <w:rPr>
          <w:b/>
          <w:bCs/>
          <w:szCs w:val="20"/>
        </w:rPr>
        <w:t>CV writing workshops</w:t>
      </w:r>
      <w:r w:rsidRPr="00E0548C">
        <w:rPr>
          <w:bCs/>
          <w:szCs w:val="20"/>
        </w:rPr>
        <w:t xml:space="preserve"> for Year 13 students to prepare for job and apprenticeship applications.</w:t>
      </w:r>
    </w:p>
    <w:p w14:paraId="444B4F37" w14:textId="77777777" w:rsidR="00E0548C" w:rsidRDefault="00E0548C" w:rsidP="00E0548C">
      <w:pPr>
        <w:rPr>
          <w:b/>
          <w:sz w:val="24"/>
        </w:rPr>
      </w:pPr>
    </w:p>
    <w:p w14:paraId="3CBE1B8C" w14:textId="77777777" w:rsidR="00651AAE" w:rsidRPr="00651AAE" w:rsidRDefault="00DF30A2" w:rsidP="00FE08BA">
      <w:pPr>
        <w:ind w:firstLine="360"/>
        <w:rPr>
          <w:b/>
          <w:sz w:val="24"/>
        </w:rPr>
      </w:pPr>
      <w:r>
        <w:rPr>
          <w:b/>
          <w:sz w:val="24"/>
        </w:rPr>
        <w:t>3</w:t>
      </w:r>
      <w:r w:rsidR="00711F1C">
        <w:rPr>
          <w:b/>
          <w:sz w:val="24"/>
        </w:rPr>
        <w:t>.3</w:t>
      </w:r>
      <w:r w:rsidR="00651AAE" w:rsidRPr="00651AAE">
        <w:rPr>
          <w:b/>
          <w:sz w:val="24"/>
        </w:rPr>
        <w:t xml:space="preserve"> </w:t>
      </w:r>
      <w:r w:rsidR="003359A9">
        <w:rPr>
          <w:b/>
          <w:sz w:val="24"/>
        </w:rPr>
        <w:t>Kent and Medway Careers Hub</w:t>
      </w:r>
    </w:p>
    <w:p w14:paraId="485C99E3" w14:textId="77777777" w:rsidR="00E0548C" w:rsidRPr="00E0548C" w:rsidRDefault="00E0548C" w:rsidP="00E0548C">
      <w:pPr>
        <w:ind w:left="360"/>
      </w:pPr>
      <w:r w:rsidRPr="00E0548C">
        <w:t>Aylesford School is a proud member of the Kent and Medway Careers Hub, established by the Careers and Enterprise Company. Through this partnership:</w:t>
      </w:r>
    </w:p>
    <w:p w14:paraId="238875B4" w14:textId="77777777" w:rsidR="00E0548C" w:rsidRPr="00E0548C" w:rsidRDefault="00E0548C" w:rsidP="00E0548C">
      <w:pPr>
        <w:numPr>
          <w:ilvl w:val="0"/>
          <w:numId w:val="25"/>
        </w:numPr>
      </w:pPr>
      <w:r w:rsidRPr="00E0548C">
        <w:t xml:space="preserve">Our </w:t>
      </w:r>
      <w:r w:rsidRPr="00E0548C">
        <w:rPr>
          <w:b/>
          <w:bCs/>
        </w:rPr>
        <w:t>Enterprise Coordinator</w:t>
      </w:r>
      <w:r w:rsidRPr="00E0548C">
        <w:t xml:space="preserve"> provides strategic guidance and expert advice on developing and enhancing our CEIAG provision in line with national best practice.</w:t>
      </w:r>
    </w:p>
    <w:p w14:paraId="451844DF" w14:textId="77777777" w:rsidR="00E0548C" w:rsidRPr="00E0548C" w:rsidRDefault="00E0548C" w:rsidP="00E0548C">
      <w:pPr>
        <w:numPr>
          <w:ilvl w:val="0"/>
          <w:numId w:val="25"/>
        </w:numPr>
      </w:pPr>
      <w:r w:rsidRPr="00E0548C">
        <w:t xml:space="preserve">Our </w:t>
      </w:r>
      <w:r w:rsidRPr="00E0548C">
        <w:rPr>
          <w:b/>
          <w:bCs/>
        </w:rPr>
        <w:t>Enterprise Adviser</w:t>
      </w:r>
      <w:r w:rsidRPr="00E0548C">
        <w:t>, an experienced industry professional, offers insight into employer expectations and helps us connect with a wide network of business contacts.</w:t>
      </w:r>
    </w:p>
    <w:p w14:paraId="4F16E79E" w14:textId="77777777" w:rsidR="00E0548C" w:rsidRPr="00E0548C" w:rsidRDefault="00E0548C" w:rsidP="00E0548C">
      <w:pPr>
        <w:ind w:left="360"/>
      </w:pPr>
      <w:r w:rsidRPr="00E0548C">
        <w:t>These relationships are integral to ensuring that our students receive industry-informed guidance and have access to meaningful encounters with employers and workplace experiences.</w:t>
      </w:r>
    </w:p>
    <w:p w14:paraId="2AF3C905" w14:textId="77777777" w:rsidR="00C7332C" w:rsidRPr="00DF30A2" w:rsidRDefault="00C7332C" w:rsidP="00DF30A2">
      <w:pPr>
        <w:pStyle w:val="ListParagraph"/>
        <w:numPr>
          <w:ilvl w:val="1"/>
          <w:numId w:val="16"/>
        </w:numPr>
        <w:rPr>
          <w:b/>
          <w:sz w:val="24"/>
        </w:rPr>
      </w:pPr>
      <w:r w:rsidRPr="00DF30A2">
        <w:rPr>
          <w:b/>
          <w:sz w:val="24"/>
        </w:rPr>
        <w:t>Parents</w:t>
      </w:r>
      <w:r w:rsidR="00520352" w:rsidRPr="00DF30A2">
        <w:rPr>
          <w:b/>
          <w:sz w:val="24"/>
        </w:rPr>
        <w:t>/Carers</w:t>
      </w:r>
    </w:p>
    <w:p w14:paraId="59C6FAA0" w14:textId="77777777" w:rsidR="00574B56" w:rsidRPr="00E0548C" w:rsidRDefault="00574B56" w:rsidP="00574B56">
      <w:pPr>
        <w:ind w:left="360"/>
      </w:pPr>
      <w:r w:rsidRPr="00E0548C">
        <w:t>Aylesford School recognises the vital role parents and carers play in supporting students' career development. We actively seek to engage parents/carers as partners in our CEIAG provision.</w:t>
      </w:r>
    </w:p>
    <w:p w14:paraId="4189BB9E" w14:textId="77777777" w:rsidR="00574B56" w:rsidRPr="00E0548C" w:rsidRDefault="00574B56" w:rsidP="00574B56">
      <w:pPr>
        <w:ind w:left="360"/>
      </w:pPr>
      <w:r w:rsidRPr="00E0548C">
        <w:t>A database is maintained of parents and carers who have volunteered to support the programme by:</w:t>
      </w:r>
    </w:p>
    <w:p w14:paraId="5BEF8107" w14:textId="77777777" w:rsidR="00574B56" w:rsidRPr="00E0548C" w:rsidRDefault="00574B56" w:rsidP="00574B56">
      <w:pPr>
        <w:numPr>
          <w:ilvl w:val="0"/>
          <w:numId w:val="26"/>
        </w:numPr>
      </w:pPr>
      <w:r w:rsidRPr="00E0548C">
        <w:lastRenderedPageBreak/>
        <w:t>Offering work shadowing placements</w:t>
      </w:r>
    </w:p>
    <w:p w14:paraId="0E35C136" w14:textId="77777777" w:rsidR="00574B56" w:rsidRPr="00E0548C" w:rsidRDefault="00574B56" w:rsidP="00574B56">
      <w:pPr>
        <w:numPr>
          <w:ilvl w:val="0"/>
          <w:numId w:val="26"/>
        </w:numPr>
      </w:pPr>
      <w:r w:rsidRPr="00E0548C">
        <w:t>Delivering career insight talks</w:t>
      </w:r>
    </w:p>
    <w:p w14:paraId="3F41FC06" w14:textId="77777777" w:rsidR="00574B56" w:rsidRPr="00E0548C" w:rsidRDefault="00574B56" w:rsidP="00574B56">
      <w:pPr>
        <w:numPr>
          <w:ilvl w:val="0"/>
          <w:numId w:val="26"/>
        </w:numPr>
      </w:pPr>
      <w:r w:rsidRPr="00E0548C">
        <w:t>Participating in careers fairs or employer panels</w:t>
      </w:r>
    </w:p>
    <w:p w14:paraId="67941A2C" w14:textId="37BCFD4D" w:rsidR="00574B56" w:rsidRPr="00E0548C" w:rsidRDefault="00574B56" w:rsidP="00172902">
      <w:r w:rsidRPr="00E0548C">
        <w:t>Parents/carers interested in supporting CEIAG activities are encouraged to contact the Careers Leader for further information.</w:t>
      </w:r>
    </w:p>
    <w:p w14:paraId="1FE80137" w14:textId="77777777" w:rsidR="00C7332C" w:rsidRPr="00DF30A2" w:rsidRDefault="00C7332C" w:rsidP="00DF30A2">
      <w:pPr>
        <w:pStyle w:val="ListParagraph"/>
        <w:numPr>
          <w:ilvl w:val="1"/>
          <w:numId w:val="16"/>
        </w:numPr>
        <w:rPr>
          <w:b/>
          <w:sz w:val="24"/>
        </w:rPr>
      </w:pPr>
      <w:r w:rsidRPr="00DF30A2">
        <w:rPr>
          <w:b/>
          <w:sz w:val="24"/>
        </w:rPr>
        <w:t>Alumni</w:t>
      </w:r>
    </w:p>
    <w:p w14:paraId="43414CEC" w14:textId="77777777" w:rsidR="00574B56" w:rsidRPr="00E0548C" w:rsidRDefault="00574B56" w:rsidP="00172902">
      <w:r w:rsidRPr="00E0548C">
        <w:t>Aylesford School encourages former students to join our Alumni Network via LinkedIn. This platform enables us to maintain strong links with our alumni and the organisations they represent, facilitating:</w:t>
      </w:r>
    </w:p>
    <w:p w14:paraId="3B30C1E4" w14:textId="77777777" w:rsidR="00574B56" w:rsidRPr="00E0548C" w:rsidRDefault="00574B56" w:rsidP="00574B56">
      <w:pPr>
        <w:numPr>
          <w:ilvl w:val="0"/>
          <w:numId w:val="27"/>
        </w:numPr>
      </w:pPr>
      <w:r w:rsidRPr="00E0548C">
        <w:t>Work shadowing placements for current students</w:t>
      </w:r>
    </w:p>
    <w:p w14:paraId="588B1E98" w14:textId="77777777" w:rsidR="00574B56" w:rsidRPr="00E0548C" w:rsidRDefault="00574B56" w:rsidP="00574B56">
      <w:pPr>
        <w:numPr>
          <w:ilvl w:val="0"/>
          <w:numId w:val="27"/>
        </w:numPr>
      </w:pPr>
      <w:r w:rsidRPr="00E0548C">
        <w:t>Career mentoring opportunities</w:t>
      </w:r>
    </w:p>
    <w:p w14:paraId="6C219418" w14:textId="77777777" w:rsidR="00574B56" w:rsidRPr="00E0548C" w:rsidRDefault="00574B56" w:rsidP="00574B56">
      <w:pPr>
        <w:numPr>
          <w:ilvl w:val="0"/>
          <w:numId w:val="27"/>
        </w:numPr>
      </w:pPr>
      <w:r w:rsidRPr="00E0548C">
        <w:t>Inspiring talks and case studies based on real-life post-school journeys</w:t>
      </w:r>
    </w:p>
    <w:p w14:paraId="5F3B459E" w14:textId="77777777" w:rsidR="00574B56" w:rsidRPr="00E0548C" w:rsidRDefault="00574B56" w:rsidP="00172902">
      <w:r w:rsidRPr="00E0548C">
        <w:t>Our alumni are a valuable resource in demonstrating the diverse and successful pathways available beyond school.</w:t>
      </w:r>
    </w:p>
    <w:p w14:paraId="22E70A5C" w14:textId="77777777" w:rsidR="009D1FA8" w:rsidRDefault="00DF30A2" w:rsidP="00651AAE">
      <w:pPr>
        <w:ind w:left="360"/>
        <w:rPr>
          <w:b/>
          <w:sz w:val="24"/>
        </w:rPr>
      </w:pPr>
      <w:r>
        <w:rPr>
          <w:b/>
          <w:sz w:val="24"/>
        </w:rPr>
        <w:t>3.6</w:t>
      </w:r>
      <w:r w:rsidR="009D1FA8">
        <w:rPr>
          <w:b/>
          <w:sz w:val="24"/>
        </w:rPr>
        <w:t xml:space="preserve"> </w:t>
      </w:r>
      <w:r w:rsidR="009D1FA8" w:rsidRPr="009B6858">
        <w:rPr>
          <w:b/>
          <w:sz w:val="24"/>
        </w:rPr>
        <w:t>Tracking</w:t>
      </w:r>
    </w:p>
    <w:p w14:paraId="1C0EA492" w14:textId="77777777" w:rsidR="00574B56" w:rsidRPr="00E0548C" w:rsidRDefault="00574B56" w:rsidP="00172902">
      <w:r w:rsidRPr="00E0548C">
        <w:t>Aylesford School works in close collaboration with Kent County Council to monitor student destinations and ensure all young people progress into positive post-16 and post-18 pathways.</w:t>
      </w:r>
    </w:p>
    <w:p w14:paraId="78CC4762" w14:textId="77777777" w:rsidR="00574B56" w:rsidRPr="00E0548C" w:rsidRDefault="00574B56" w:rsidP="00574B56">
      <w:pPr>
        <w:numPr>
          <w:ilvl w:val="0"/>
          <w:numId w:val="28"/>
        </w:numPr>
      </w:pPr>
      <w:r w:rsidRPr="00E0548C">
        <w:t>We track and report on intended destinations and meet statutory requirements for September Guarantee data.</w:t>
      </w:r>
    </w:p>
    <w:p w14:paraId="4FDB6C58" w14:textId="77777777" w:rsidR="00574B56" w:rsidRPr="00E0548C" w:rsidRDefault="00574B56" w:rsidP="00574B56">
      <w:pPr>
        <w:numPr>
          <w:ilvl w:val="0"/>
          <w:numId w:val="28"/>
        </w:numPr>
      </w:pPr>
      <w:r w:rsidRPr="00E0548C">
        <w:t>Targeted individual support is provided to any students identified as being at risk of becoming NEET (Not in Education, Employment or Training).</w:t>
      </w:r>
    </w:p>
    <w:p w14:paraId="0E90F263" w14:textId="3264EAD8" w:rsidR="00E0548C" w:rsidRDefault="00574B56" w:rsidP="00574B56">
      <w:pPr>
        <w:numPr>
          <w:ilvl w:val="0"/>
          <w:numId w:val="28"/>
        </w:numPr>
      </w:pPr>
      <w:r w:rsidRPr="00E0548C">
        <w:t>Internal careers tracking systems help ensure that CEIAG support is timely, responsive, and effective across all key stages.</w:t>
      </w:r>
    </w:p>
    <w:p w14:paraId="598BB218" w14:textId="77777777" w:rsidR="00574B56" w:rsidRDefault="00574B56" w:rsidP="00574B56">
      <w:pPr>
        <w:ind w:left="720"/>
      </w:pPr>
    </w:p>
    <w:p w14:paraId="4D7E4AD2" w14:textId="77777777" w:rsidR="00B776EC" w:rsidRPr="00156BAF" w:rsidRDefault="00DF30A2" w:rsidP="00156BAF">
      <w:pPr>
        <w:rPr>
          <w:b/>
          <w:sz w:val="28"/>
        </w:rPr>
      </w:pPr>
      <w:r>
        <w:rPr>
          <w:b/>
          <w:sz w:val="28"/>
        </w:rPr>
        <w:t>4</w:t>
      </w:r>
      <w:r w:rsidR="00156BAF" w:rsidRPr="00156BAF">
        <w:rPr>
          <w:b/>
          <w:sz w:val="28"/>
        </w:rPr>
        <w:t xml:space="preserve">. </w:t>
      </w:r>
      <w:r w:rsidR="00B776EC" w:rsidRPr="00156BAF">
        <w:rPr>
          <w:b/>
          <w:sz w:val="28"/>
        </w:rPr>
        <w:t xml:space="preserve">Work </w:t>
      </w:r>
      <w:r w:rsidR="005419B6">
        <w:rPr>
          <w:b/>
          <w:sz w:val="28"/>
        </w:rPr>
        <w:t>Shadowing</w:t>
      </w:r>
    </w:p>
    <w:p w14:paraId="3E011809" w14:textId="77777777" w:rsidR="00574B56" w:rsidRPr="00574B56" w:rsidRDefault="00574B56" w:rsidP="00574B56">
      <w:pPr>
        <w:ind w:left="360"/>
      </w:pPr>
      <w:r w:rsidRPr="00574B56">
        <w:t>Work shadowing plays a central role in Aylesford School’s careers provision and often represents a student's first meaningful experience of the workplace. These placements provide a valuable opportunity to:</w:t>
      </w:r>
    </w:p>
    <w:p w14:paraId="4B03EE68" w14:textId="77777777" w:rsidR="00574B56" w:rsidRPr="00574B56" w:rsidRDefault="00574B56" w:rsidP="00574B56">
      <w:pPr>
        <w:numPr>
          <w:ilvl w:val="0"/>
          <w:numId w:val="29"/>
        </w:numPr>
      </w:pPr>
      <w:r w:rsidRPr="00574B56">
        <w:t>Gain insight into the structure and operation of a business</w:t>
      </w:r>
    </w:p>
    <w:p w14:paraId="70DDDD27" w14:textId="77777777" w:rsidR="00574B56" w:rsidRPr="00574B56" w:rsidRDefault="00574B56" w:rsidP="00574B56">
      <w:pPr>
        <w:numPr>
          <w:ilvl w:val="0"/>
          <w:numId w:val="29"/>
        </w:numPr>
      </w:pPr>
      <w:r w:rsidRPr="00574B56">
        <w:t>Observe a variety of job roles in action</w:t>
      </w:r>
    </w:p>
    <w:p w14:paraId="0A7A050D" w14:textId="77777777" w:rsidR="00574B56" w:rsidRPr="00574B56" w:rsidRDefault="00574B56" w:rsidP="00574B56">
      <w:pPr>
        <w:numPr>
          <w:ilvl w:val="0"/>
          <w:numId w:val="29"/>
        </w:numPr>
      </w:pPr>
      <w:r w:rsidRPr="00574B56">
        <w:t>Reflect on personal strengths, interests, and future aspirations</w:t>
      </w:r>
    </w:p>
    <w:p w14:paraId="06207C26" w14:textId="77777777" w:rsidR="00574B56" w:rsidRPr="00574B56" w:rsidRDefault="00574B56" w:rsidP="00172902">
      <w:r w:rsidRPr="00574B56">
        <w:lastRenderedPageBreak/>
        <w:t>All students in Years 7, 8, 9, 10, and 12 are expected to complete a work shadowing placement on designated dates during Term 6. These dates are communicated well in advance to allow students sufficient time to secure a suitable placement and prepare for the experience.</w:t>
      </w:r>
    </w:p>
    <w:p w14:paraId="5BD3889F" w14:textId="77777777" w:rsidR="005C290C" w:rsidRPr="00337E6A" w:rsidRDefault="005C290C" w:rsidP="00337E6A">
      <w:pPr>
        <w:ind w:left="360"/>
        <w:rPr>
          <w:rFonts w:cs="Calibri"/>
        </w:rPr>
      </w:pPr>
    </w:p>
    <w:p w14:paraId="5D2D1D8B" w14:textId="77777777" w:rsidR="00A02F79" w:rsidRPr="00156BAF" w:rsidRDefault="00DF30A2" w:rsidP="00156BAF">
      <w:pPr>
        <w:rPr>
          <w:b/>
          <w:sz w:val="28"/>
        </w:rPr>
      </w:pPr>
      <w:r>
        <w:rPr>
          <w:b/>
          <w:sz w:val="28"/>
        </w:rPr>
        <w:t>5</w:t>
      </w:r>
      <w:r w:rsidR="00156BAF" w:rsidRPr="00156BAF">
        <w:rPr>
          <w:b/>
          <w:sz w:val="28"/>
        </w:rPr>
        <w:t xml:space="preserve">. </w:t>
      </w:r>
      <w:r w:rsidR="00A02F79" w:rsidRPr="00156BAF">
        <w:rPr>
          <w:b/>
          <w:sz w:val="28"/>
        </w:rPr>
        <w:t xml:space="preserve">Evaluation </w:t>
      </w:r>
      <w:r w:rsidR="00520352">
        <w:rPr>
          <w:b/>
          <w:sz w:val="28"/>
        </w:rPr>
        <w:t>o</w:t>
      </w:r>
      <w:r w:rsidR="00520352" w:rsidRPr="00156BAF">
        <w:rPr>
          <w:b/>
          <w:sz w:val="28"/>
        </w:rPr>
        <w:t xml:space="preserve">f Provision </w:t>
      </w:r>
    </w:p>
    <w:p w14:paraId="4F3D7A33" w14:textId="77777777" w:rsidR="00574B56" w:rsidRPr="00574B56" w:rsidRDefault="00574B56" w:rsidP="00172902">
      <w:r w:rsidRPr="00574B56">
        <w:t>The Careers Leader, in collaboration with the Senior Leadership Team (SLT) link, is responsible for the ongoing monitoring and annual review of the school’s CEIAG provision. Evaluation draws on a range of evidence, including:</w:t>
      </w:r>
    </w:p>
    <w:p w14:paraId="0485E6ED" w14:textId="77777777" w:rsidR="00574B56" w:rsidRPr="00574B56" w:rsidRDefault="00574B56" w:rsidP="00574B56">
      <w:pPr>
        <w:numPr>
          <w:ilvl w:val="0"/>
          <w:numId w:val="30"/>
        </w:numPr>
      </w:pPr>
      <w:r w:rsidRPr="00574B56">
        <w:t>Student feedback from careers events, activities, and trips</w:t>
      </w:r>
    </w:p>
    <w:p w14:paraId="1FF8C7E6" w14:textId="77777777" w:rsidR="00574B56" w:rsidRPr="00574B56" w:rsidRDefault="00574B56" w:rsidP="00574B56">
      <w:pPr>
        <w:numPr>
          <w:ilvl w:val="0"/>
          <w:numId w:val="30"/>
        </w:numPr>
      </w:pPr>
      <w:r w:rsidRPr="00574B56">
        <w:t>Parent and carer feedback</w:t>
      </w:r>
    </w:p>
    <w:p w14:paraId="26198611" w14:textId="77777777" w:rsidR="00574B56" w:rsidRPr="00574B56" w:rsidRDefault="00574B56" w:rsidP="00574B56">
      <w:pPr>
        <w:numPr>
          <w:ilvl w:val="0"/>
          <w:numId w:val="30"/>
        </w:numPr>
      </w:pPr>
      <w:r w:rsidRPr="00574B56">
        <w:t>Destination data provided by the Local Authority</w:t>
      </w:r>
    </w:p>
    <w:p w14:paraId="3C3906E7" w14:textId="77777777" w:rsidR="00574B56" w:rsidRPr="00574B56" w:rsidRDefault="00574B56" w:rsidP="00172902">
      <w:r w:rsidRPr="00574B56">
        <w:t>The Gatsby Benchmarks serve as the framework against which the school’s CEIAG provision is measured and developed. Findings from evaluations inform the ongoing improvement and development of the programme.</w:t>
      </w:r>
    </w:p>
    <w:p w14:paraId="11F2D96A" w14:textId="77777777" w:rsidR="005C290C" w:rsidRPr="002B4058" w:rsidRDefault="005C290C" w:rsidP="009E70B3">
      <w:pPr>
        <w:ind w:left="360"/>
      </w:pPr>
    </w:p>
    <w:p w14:paraId="2C8B7660" w14:textId="77777777" w:rsidR="00A02F79" w:rsidRPr="00156BAF" w:rsidRDefault="00DF30A2" w:rsidP="00156BAF">
      <w:pPr>
        <w:rPr>
          <w:b/>
          <w:sz w:val="28"/>
        </w:rPr>
      </w:pPr>
      <w:r>
        <w:rPr>
          <w:b/>
          <w:sz w:val="28"/>
        </w:rPr>
        <w:t>6</w:t>
      </w:r>
      <w:r w:rsidR="00156BAF" w:rsidRPr="00156BAF">
        <w:rPr>
          <w:b/>
          <w:sz w:val="28"/>
        </w:rPr>
        <w:t xml:space="preserve">. </w:t>
      </w:r>
      <w:r w:rsidR="00A02F79" w:rsidRPr="00156BAF">
        <w:rPr>
          <w:b/>
          <w:sz w:val="28"/>
        </w:rPr>
        <w:t>Staff Development</w:t>
      </w:r>
      <w:r w:rsidR="006233C1" w:rsidRPr="00156BAF">
        <w:rPr>
          <w:b/>
          <w:sz w:val="28"/>
        </w:rPr>
        <w:t xml:space="preserve"> </w:t>
      </w:r>
    </w:p>
    <w:p w14:paraId="692EBDE6" w14:textId="77777777" w:rsidR="00574B56" w:rsidRPr="00574B56" w:rsidRDefault="00574B56" w:rsidP="00172902">
      <w:r w:rsidRPr="00574B56">
        <w:t>The continuing professional development (CPD) of the Careers Leader is supported through:</w:t>
      </w:r>
    </w:p>
    <w:p w14:paraId="41380C74" w14:textId="77777777" w:rsidR="00574B56" w:rsidRPr="00574B56" w:rsidRDefault="00574B56" w:rsidP="00574B56">
      <w:pPr>
        <w:numPr>
          <w:ilvl w:val="0"/>
          <w:numId w:val="31"/>
        </w:numPr>
      </w:pPr>
      <w:r w:rsidRPr="00574B56">
        <w:t>Regular meetings with the SLT link to review needs and priorities</w:t>
      </w:r>
    </w:p>
    <w:p w14:paraId="1E428733" w14:textId="77777777" w:rsidR="00574B56" w:rsidRPr="00574B56" w:rsidRDefault="00574B56" w:rsidP="00574B56">
      <w:pPr>
        <w:numPr>
          <w:ilvl w:val="0"/>
          <w:numId w:val="31"/>
        </w:numPr>
      </w:pPr>
      <w:r w:rsidRPr="00574B56">
        <w:t>An annual performance appraisal</w:t>
      </w:r>
    </w:p>
    <w:p w14:paraId="794966D2" w14:textId="77777777" w:rsidR="00574B56" w:rsidRPr="00574B56" w:rsidRDefault="00574B56" w:rsidP="00574B56">
      <w:pPr>
        <w:numPr>
          <w:ilvl w:val="0"/>
          <w:numId w:val="31"/>
        </w:numPr>
      </w:pPr>
      <w:r w:rsidRPr="00574B56">
        <w:t>Access to relevant training and development opportunities funded through the Careers and PSHE budget</w:t>
      </w:r>
    </w:p>
    <w:p w14:paraId="0FFA8871" w14:textId="77777777" w:rsidR="00574B56" w:rsidRPr="00574B56" w:rsidRDefault="00574B56" w:rsidP="00172902">
      <w:r w:rsidRPr="00574B56">
        <w:t>The Careers Leader also participates in local careers adviser network meetings, ensuring they remain up to date with developments in careers education, labour market trends, and regional opportunities.</w:t>
      </w:r>
    </w:p>
    <w:p w14:paraId="751A781C" w14:textId="77777777" w:rsidR="005C290C" w:rsidRDefault="005C290C" w:rsidP="009E70B3">
      <w:pPr>
        <w:ind w:left="360"/>
      </w:pPr>
    </w:p>
    <w:p w14:paraId="137ED16C" w14:textId="77777777" w:rsidR="00A02F79" w:rsidRPr="00156BAF" w:rsidRDefault="00DF30A2" w:rsidP="00156BAF">
      <w:pPr>
        <w:rPr>
          <w:b/>
          <w:sz w:val="28"/>
        </w:rPr>
      </w:pPr>
      <w:r>
        <w:rPr>
          <w:b/>
          <w:sz w:val="28"/>
        </w:rPr>
        <w:t>7</w:t>
      </w:r>
      <w:r w:rsidR="00156BAF" w:rsidRPr="00156BAF">
        <w:rPr>
          <w:b/>
          <w:sz w:val="28"/>
        </w:rPr>
        <w:t xml:space="preserve">. </w:t>
      </w:r>
      <w:r w:rsidR="00A02F79" w:rsidRPr="00156BAF">
        <w:rPr>
          <w:b/>
          <w:sz w:val="28"/>
        </w:rPr>
        <w:t>Resources</w:t>
      </w:r>
    </w:p>
    <w:p w14:paraId="03F73FBE" w14:textId="77777777" w:rsidR="00574B56" w:rsidRPr="00574B56" w:rsidRDefault="00574B56" w:rsidP="00172902">
      <w:r w:rsidRPr="00574B56">
        <w:t>Funding for CEIAG is allocated as part of the school’s annual budget planning process, in alignment with whole-school priorities.</w:t>
      </w:r>
    </w:p>
    <w:p w14:paraId="3F551AAA" w14:textId="77777777" w:rsidR="00574B56" w:rsidRPr="00574B56" w:rsidRDefault="00574B56" w:rsidP="00172902">
      <w:r w:rsidRPr="00574B56">
        <w:t>Resources to support delivery include:</w:t>
      </w:r>
    </w:p>
    <w:p w14:paraId="3EECBFE7" w14:textId="77777777" w:rsidR="00574B56" w:rsidRPr="00574B56" w:rsidRDefault="00574B56" w:rsidP="00574B56">
      <w:pPr>
        <w:numPr>
          <w:ilvl w:val="0"/>
          <w:numId w:val="32"/>
        </w:numPr>
      </w:pPr>
      <w:r w:rsidRPr="00574B56">
        <w:t>A regularly updated Careers Library, accessible to students for research and reference</w:t>
      </w:r>
    </w:p>
    <w:p w14:paraId="1B8ADA16" w14:textId="77777777" w:rsidR="00574B56" w:rsidRPr="00574B56" w:rsidRDefault="00574B56" w:rsidP="00574B56">
      <w:pPr>
        <w:numPr>
          <w:ilvl w:val="0"/>
          <w:numId w:val="32"/>
        </w:numPr>
      </w:pPr>
      <w:r w:rsidRPr="00574B56">
        <w:lastRenderedPageBreak/>
        <w:t>A comprehensive selection of online tools and resources, available via the Careers section of the school website</w:t>
      </w:r>
    </w:p>
    <w:p w14:paraId="078AD171" w14:textId="214FDEBD" w:rsidR="00574B56" w:rsidRDefault="00574B56" w:rsidP="00574B56">
      <w:pPr>
        <w:numPr>
          <w:ilvl w:val="0"/>
          <w:numId w:val="32"/>
        </w:numPr>
      </w:pPr>
      <w:r w:rsidRPr="00574B56">
        <w:t>The school’s subscription to Morrisby Careers Advice, providing all students with access to high-quality, personalised careers information and planning tools</w:t>
      </w:r>
    </w:p>
    <w:sectPr w:rsidR="00574B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487D"/>
    <w:multiLevelType w:val="multilevel"/>
    <w:tmpl w:val="646CF7CC"/>
    <w:lvl w:ilvl="0">
      <w:start w:val="1"/>
      <w:numFmt w:val="decimal"/>
      <w:lvlText w:val="%1."/>
      <w:lvlJc w:val="left"/>
      <w:pPr>
        <w:ind w:left="720" w:hanging="360"/>
      </w:pPr>
      <w:rPr>
        <w:rFonts w:hint="default"/>
        <w:color w:val="auto"/>
        <w:sz w:val="26"/>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C14873"/>
    <w:multiLevelType w:val="multilevel"/>
    <w:tmpl w:val="6B56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30415"/>
    <w:multiLevelType w:val="multilevel"/>
    <w:tmpl w:val="96BAEDE8"/>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1B5FDF"/>
    <w:multiLevelType w:val="multilevel"/>
    <w:tmpl w:val="8C02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536DF"/>
    <w:multiLevelType w:val="multilevel"/>
    <w:tmpl w:val="6FD4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B5539"/>
    <w:multiLevelType w:val="multilevel"/>
    <w:tmpl w:val="4296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D128E"/>
    <w:multiLevelType w:val="multilevel"/>
    <w:tmpl w:val="0A76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1E0B36"/>
    <w:multiLevelType w:val="multilevel"/>
    <w:tmpl w:val="77FE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50433"/>
    <w:multiLevelType w:val="multilevel"/>
    <w:tmpl w:val="9CA294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32037D"/>
    <w:multiLevelType w:val="multilevel"/>
    <w:tmpl w:val="0C5E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30FBF"/>
    <w:multiLevelType w:val="multilevel"/>
    <w:tmpl w:val="7FAE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D71899"/>
    <w:multiLevelType w:val="hybridMultilevel"/>
    <w:tmpl w:val="AB8A7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8EF6D64"/>
    <w:multiLevelType w:val="hybridMultilevel"/>
    <w:tmpl w:val="51A8F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DC6AB9"/>
    <w:multiLevelType w:val="hybridMultilevel"/>
    <w:tmpl w:val="FBDE16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082772A"/>
    <w:multiLevelType w:val="hybridMultilevel"/>
    <w:tmpl w:val="CBFCFECE"/>
    <w:lvl w:ilvl="0" w:tplc="5F84E8C0">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DF55AA"/>
    <w:multiLevelType w:val="multilevel"/>
    <w:tmpl w:val="51CE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1A7127"/>
    <w:multiLevelType w:val="multilevel"/>
    <w:tmpl w:val="5080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95515A"/>
    <w:multiLevelType w:val="hybridMultilevel"/>
    <w:tmpl w:val="4B602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CC3EE9"/>
    <w:multiLevelType w:val="multilevel"/>
    <w:tmpl w:val="6FE29AD0"/>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4CF3F9F"/>
    <w:multiLevelType w:val="multilevel"/>
    <w:tmpl w:val="01B8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B246B7"/>
    <w:multiLevelType w:val="hybridMultilevel"/>
    <w:tmpl w:val="17069772"/>
    <w:lvl w:ilvl="0" w:tplc="874CE68C">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79773AD"/>
    <w:multiLevelType w:val="hybridMultilevel"/>
    <w:tmpl w:val="E6B08C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BC61391"/>
    <w:multiLevelType w:val="hybridMultilevel"/>
    <w:tmpl w:val="D6D8CC6A"/>
    <w:lvl w:ilvl="0" w:tplc="1F5AFFEE">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CB2682F"/>
    <w:multiLevelType w:val="multilevel"/>
    <w:tmpl w:val="2962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3C091E"/>
    <w:multiLevelType w:val="hybridMultilevel"/>
    <w:tmpl w:val="DC6840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9D42C1D"/>
    <w:multiLevelType w:val="multilevel"/>
    <w:tmpl w:val="0B225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2A0F7F"/>
    <w:multiLevelType w:val="multilevel"/>
    <w:tmpl w:val="FAA67E8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C34618E"/>
    <w:multiLevelType w:val="multilevel"/>
    <w:tmpl w:val="BE08E61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E307D0B"/>
    <w:multiLevelType w:val="multilevel"/>
    <w:tmpl w:val="DF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4F678F"/>
    <w:multiLevelType w:val="hybridMultilevel"/>
    <w:tmpl w:val="581453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42052F4"/>
    <w:multiLevelType w:val="multilevel"/>
    <w:tmpl w:val="324E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E54678"/>
    <w:multiLevelType w:val="multilevel"/>
    <w:tmpl w:val="7BCA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178444">
    <w:abstractNumId w:val="26"/>
  </w:num>
  <w:num w:numId="2" w16cid:durableId="168252210">
    <w:abstractNumId w:val="14"/>
  </w:num>
  <w:num w:numId="3" w16cid:durableId="1555656572">
    <w:abstractNumId w:val="20"/>
  </w:num>
  <w:num w:numId="4" w16cid:durableId="272173650">
    <w:abstractNumId w:val="22"/>
  </w:num>
  <w:num w:numId="5" w16cid:durableId="2021543674">
    <w:abstractNumId w:val="17"/>
  </w:num>
  <w:num w:numId="6" w16cid:durableId="1972009464">
    <w:abstractNumId w:val="13"/>
  </w:num>
  <w:num w:numId="7" w16cid:durableId="21127416">
    <w:abstractNumId w:val="8"/>
  </w:num>
  <w:num w:numId="8" w16cid:durableId="258829412">
    <w:abstractNumId w:val="24"/>
  </w:num>
  <w:num w:numId="9" w16cid:durableId="1014114071">
    <w:abstractNumId w:val="21"/>
  </w:num>
  <w:num w:numId="10" w16cid:durableId="1746104600">
    <w:abstractNumId w:val="29"/>
  </w:num>
  <w:num w:numId="11" w16cid:durableId="1016225523">
    <w:abstractNumId w:val="18"/>
  </w:num>
  <w:num w:numId="12" w16cid:durableId="152533654">
    <w:abstractNumId w:val="11"/>
  </w:num>
  <w:num w:numId="13" w16cid:durableId="1038429443">
    <w:abstractNumId w:val="27"/>
  </w:num>
  <w:num w:numId="14" w16cid:durableId="1883125789">
    <w:abstractNumId w:val="2"/>
  </w:num>
  <w:num w:numId="15" w16cid:durableId="48237093">
    <w:abstractNumId w:val="12"/>
  </w:num>
  <w:num w:numId="16" w16cid:durableId="494534989">
    <w:abstractNumId w:val="0"/>
  </w:num>
  <w:num w:numId="17" w16cid:durableId="594360863">
    <w:abstractNumId w:val="30"/>
  </w:num>
  <w:num w:numId="18" w16cid:durableId="1339455650">
    <w:abstractNumId w:val="6"/>
  </w:num>
  <w:num w:numId="19" w16cid:durableId="1758676155">
    <w:abstractNumId w:val="16"/>
  </w:num>
  <w:num w:numId="20" w16cid:durableId="2114939740">
    <w:abstractNumId w:val="23"/>
  </w:num>
  <w:num w:numId="21" w16cid:durableId="1893424258">
    <w:abstractNumId w:val="3"/>
  </w:num>
  <w:num w:numId="22" w16cid:durableId="1084761071">
    <w:abstractNumId w:val="7"/>
  </w:num>
  <w:num w:numId="23" w16cid:durableId="1071849498">
    <w:abstractNumId w:val="10"/>
  </w:num>
  <w:num w:numId="24" w16cid:durableId="1882741343">
    <w:abstractNumId w:val="4"/>
  </w:num>
  <w:num w:numId="25" w16cid:durableId="2048367">
    <w:abstractNumId w:val="9"/>
  </w:num>
  <w:num w:numId="26" w16cid:durableId="1558128108">
    <w:abstractNumId w:val="5"/>
  </w:num>
  <w:num w:numId="27" w16cid:durableId="105126276">
    <w:abstractNumId w:val="1"/>
  </w:num>
  <w:num w:numId="28" w16cid:durableId="1880362040">
    <w:abstractNumId w:val="31"/>
  </w:num>
  <w:num w:numId="29" w16cid:durableId="1552497749">
    <w:abstractNumId w:val="28"/>
  </w:num>
  <w:num w:numId="30" w16cid:durableId="317149411">
    <w:abstractNumId w:val="15"/>
  </w:num>
  <w:num w:numId="31" w16cid:durableId="1474446212">
    <w:abstractNumId w:val="25"/>
  </w:num>
  <w:num w:numId="32" w16cid:durableId="16987780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654"/>
    <w:rsid w:val="00063B9F"/>
    <w:rsid w:val="000A7075"/>
    <w:rsid w:val="000F1D91"/>
    <w:rsid w:val="000F55DD"/>
    <w:rsid w:val="00156BAF"/>
    <w:rsid w:val="001653BD"/>
    <w:rsid w:val="00172902"/>
    <w:rsid w:val="00180F13"/>
    <w:rsid w:val="001A19C1"/>
    <w:rsid w:val="001A7601"/>
    <w:rsid w:val="001E2935"/>
    <w:rsid w:val="001E52A6"/>
    <w:rsid w:val="00267C7E"/>
    <w:rsid w:val="002B4058"/>
    <w:rsid w:val="003359A9"/>
    <w:rsid w:val="00337E6A"/>
    <w:rsid w:val="00346AA0"/>
    <w:rsid w:val="00353479"/>
    <w:rsid w:val="00374D1E"/>
    <w:rsid w:val="003A516E"/>
    <w:rsid w:val="003B4FC5"/>
    <w:rsid w:val="003C0A27"/>
    <w:rsid w:val="003E3D41"/>
    <w:rsid w:val="00407986"/>
    <w:rsid w:val="00460946"/>
    <w:rsid w:val="00475A69"/>
    <w:rsid w:val="00493DD1"/>
    <w:rsid w:val="004E72B2"/>
    <w:rsid w:val="004E7CE0"/>
    <w:rsid w:val="00501459"/>
    <w:rsid w:val="00520352"/>
    <w:rsid w:val="00524526"/>
    <w:rsid w:val="005373E5"/>
    <w:rsid w:val="005419B6"/>
    <w:rsid w:val="005740F7"/>
    <w:rsid w:val="00574B56"/>
    <w:rsid w:val="00581611"/>
    <w:rsid w:val="005C290C"/>
    <w:rsid w:val="006233C1"/>
    <w:rsid w:val="00651AAE"/>
    <w:rsid w:val="00655654"/>
    <w:rsid w:val="006878AA"/>
    <w:rsid w:val="006A1290"/>
    <w:rsid w:val="006A5F43"/>
    <w:rsid w:val="00703733"/>
    <w:rsid w:val="00711F1C"/>
    <w:rsid w:val="007D081A"/>
    <w:rsid w:val="0083224E"/>
    <w:rsid w:val="0095265D"/>
    <w:rsid w:val="00975484"/>
    <w:rsid w:val="009B249C"/>
    <w:rsid w:val="009B6858"/>
    <w:rsid w:val="009D1FA8"/>
    <w:rsid w:val="009E70B3"/>
    <w:rsid w:val="009F664E"/>
    <w:rsid w:val="00A02F79"/>
    <w:rsid w:val="00A07532"/>
    <w:rsid w:val="00A12E59"/>
    <w:rsid w:val="00AF277C"/>
    <w:rsid w:val="00AF2F08"/>
    <w:rsid w:val="00B0628D"/>
    <w:rsid w:val="00B776EC"/>
    <w:rsid w:val="00BC4FA1"/>
    <w:rsid w:val="00BE5898"/>
    <w:rsid w:val="00BF6818"/>
    <w:rsid w:val="00C0060B"/>
    <w:rsid w:val="00C0454A"/>
    <w:rsid w:val="00C3467D"/>
    <w:rsid w:val="00C452C6"/>
    <w:rsid w:val="00C56B80"/>
    <w:rsid w:val="00C7332C"/>
    <w:rsid w:val="00CA37E1"/>
    <w:rsid w:val="00CC628F"/>
    <w:rsid w:val="00D61DAA"/>
    <w:rsid w:val="00D72905"/>
    <w:rsid w:val="00D93DE5"/>
    <w:rsid w:val="00D97370"/>
    <w:rsid w:val="00DC7D3B"/>
    <w:rsid w:val="00DF30A2"/>
    <w:rsid w:val="00E0548C"/>
    <w:rsid w:val="00E2690E"/>
    <w:rsid w:val="00E90707"/>
    <w:rsid w:val="00EC5577"/>
    <w:rsid w:val="00EE08A4"/>
    <w:rsid w:val="00F40F16"/>
    <w:rsid w:val="00F72A80"/>
    <w:rsid w:val="00FB312D"/>
    <w:rsid w:val="00FB367A"/>
    <w:rsid w:val="00FE0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2A76"/>
  <w15:docId w15:val="{CFAC73EC-B7E2-4015-B645-B10821D9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654"/>
    <w:rPr>
      <w:color w:val="0000FF" w:themeColor="hyperlink"/>
      <w:u w:val="single"/>
    </w:rPr>
  </w:style>
  <w:style w:type="paragraph" w:styleId="BalloonText">
    <w:name w:val="Balloon Text"/>
    <w:basedOn w:val="Normal"/>
    <w:link w:val="BalloonTextChar"/>
    <w:uiPriority w:val="99"/>
    <w:semiHidden/>
    <w:unhideWhenUsed/>
    <w:rsid w:val="00655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654"/>
    <w:rPr>
      <w:rFonts w:ascii="Tahoma" w:hAnsi="Tahoma" w:cs="Tahoma"/>
      <w:sz w:val="16"/>
      <w:szCs w:val="16"/>
    </w:rPr>
  </w:style>
  <w:style w:type="table" w:styleId="TableGrid">
    <w:name w:val="Table Grid"/>
    <w:basedOn w:val="TableNormal"/>
    <w:uiPriority w:val="59"/>
    <w:rsid w:val="00B0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2860">
      <w:bodyDiv w:val="1"/>
      <w:marLeft w:val="0"/>
      <w:marRight w:val="0"/>
      <w:marTop w:val="0"/>
      <w:marBottom w:val="0"/>
      <w:divBdr>
        <w:top w:val="none" w:sz="0" w:space="0" w:color="auto"/>
        <w:left w:val="none" w:sz="0" w:space="0" w:color="auto"/>
        <w:bottom w:val="none" w:sz="0" w:space="0" w:color="auto"/>
        <w:right w:val="none" w:sz="0" w:space="0" w:color="auto"/>
      </w:divBdr>
    </w:div>
    <w:div w:id="125659431">
      <w:bodyDiv w:val="1"/>
      <w:marLeft w:val="0"/>
      <w:marRight w:val="0"/>
      <w:marTop w:val="0"/>
      <w:marBottom w:val="0"/>
      <w:divBdr>
        <w:top w:val="none" w:sz="0" w:space="0" w:color="auto"/>
        <w:left w:val="none" w:sz="0" w:space="0" w:color="auto"/>
        <w:bottom w:val="none" w:sz="0" w:space="0" w:color="auto"/>
        <w:right w:val="none" w:sz="0" w:space="0" w:color="auto"/>
      </w:divBdr>
    </w:div>
    <w:div w:id="195428628">
      <w:bodyDiv w:val="1"/>
      <w:marLeft w:val="0"/>
      <w:marRight w:val="0"/>
      <w:marTop w:val="0"/>
      <w:marBottom w:val="0"/>
      <w:divBdr>
        <w:top w:val="none" w:sz="0" w:space="0" w:color="auto"/>
        <w:left w:val="none" w:sz="0" w:space="0" w:color="auto"/>
        <w:bottom w:val="none" w:sz="0" w:space="0" w:color="auto"/>
        <w:right w:val="none" w:sz="0" w:space="0" w:color="auto"/>
      </w:divBdr>
    </w:div>
    <w:div w:id="361055005">
      <w:bodyDiv w:val="1"/>
      <w:marLeft w:val="0"/>
      <w:marRight w:val="0"/>
      <w:marTop w:val="0"/>
      <w:marBottom w:val="0"/>
      <w:divBdr>
        <w:top w:val="none" w:sz="0" w:space="0" w:color="auto"/>
        <w:left w:val="none" w:sz="0" w:space="0" w:color="auto"/>
        <w:bottom w:val="none" w:sz="0" w:space="0" w:color="auto"/>
        <w:right w:val="none" w:sz="0" w:space="0" w:color="auto"/>
      </w:divBdr>
    </w:div>
    <w:div w:id="445200241">
      <w:bodyDiv w:val="1"/>
      <w:marLeft w:val="0"/>
      <w:marRight w:val="0"/>
      <w:marTop w:val="0"/>
      <w:marBottom w:val="0"/>
      <w:divBdr>
        <w:top w:val="none" w:sz="0" w:space="0" w:color="auto"/>
        <w:left w:val="none" w:sz="0" w:space="0" w:color="auto"/>
        <w:bottom w:val="none" w:sz="0" w:space="0" w:color="auto"/>
        <w:right w:val="none" w:sz="0" w:space="0" w:color="auto"/>
      </w:divBdr>
    </w:div>
    <w:div w:id="484513323">
      <w:bodyDiv w:val="1"/>
      <w:marLeft w:val="0"/>
      <w:marRight w:val="0"/>
      <w:marTop w:val="0"/>
      <w:marBottom w:val="0"/>
      <w:divBdr>
        <w:top w:val="none" w:sz="0" w:space="0" w:color="auto"/>
        <w:left w:val="none" w:sz="0" w:space="0" w:color="auto"/>
        <w:bottom w:val="none" w:sz="0" w:space="0" w:color="auto"/>
        <w:right w:val="none" w:sz="0" w:space="0" w:color="auto"/>
      </w:divBdr>
    </w:div>
    <w:div w:id="566300571">
      <w:bodyDiv w:val="1"/>
      <w:marLeft w:val="0"/>
      <w:marRight w:val="0"/>
      <w:marTop w:val="0"/>
      <w:marBottom w:val="0"/>
      <w:divBdr>
        <w:top w:val="none" w:sz="0" w:space="0" w:color="auto"/>
        <w:left w:val="none" w:sz="0" w:space="0" w:color="auto"/>
        <w:bottom w:val="none" w:sz="0" w:space="0" w:color="auto"/>
        <w:right w:val="none" w:sz="0" w:space="0" w:color="auto"/>
      </w:divBdr>
    </w:div>
    <w:div w:id="568535169">
      <w:bodyDiv w:val="1"/>
      <w:marLeft w:val="0"/>
      <w:marRight w:val="0"/>
      <w:marTop w:val="0"/>
      <w:marBottom w:val="0"/>
      <w:divBdr>
        <w:top w:val="none" w:sz="0" w:space="0" w:color="auto"/>
        <w:left w:val="none" w:sz="0" w:space="0" w:color="auto"/>
        <w:bottom w:val="none" w:sz="0" w:space="0" w:color="auto"/>
        <w:right w:val="none" w:sz="0" w:space="0" w:color="auto"/>
      </w:divBdr>
    </w:div>
    <w:div w:id="571428327">
      <w:bodyDiv w:val="1"/>
      <w:marLeft w:val="0"/>
      <w:marRight w:val="0"/>
      <w:marTop w:val="0"/>
      <w:marBottom w:val="0"/>
      <w:divBdr>
        <w:top w:val="none" w:sz="0" w:space="0" w:color="auto"/>
        <w:left w:val="none" w:sz="0" w:space="0" w:color="auto"/>
        <w:bottom w:val="none" w:sz="0" w:space="0" w:color="auto"/>
        <w:right w:val="none" w:sz="0" w:space="0" w:color="auto"/>
      </w:divBdr>
    </w:div>
    <w:div w:id="649869426">
      <w:bodyDiv w:val="1"/>
      <w:marLeft w:val="0"/>
      <w:marRight w:val="0"/>
      <w:marTop w:val="0"/>
      <w:marBottom w:val="0"/>
      <w:divBdr>
        <w:top w:val="none" w:sz="0" w:space="0" w:color="auto"/>
        <w:left w:val="none" w:sz="0" w:space="0" w:color="auto"/>
        <w:bottom w:val="none" w:sz="0" w:space="0" w:color="auto"/>
        <w:right w:val="none" w:sz="0" w:space="0" w:color="auto"/>
      </w:divBdr>
    </w:div>
    <w:div w:id="670137512">
      <w:bodyDiv w:val="1"/>
      <w:marLeft w:val="0"/>
      <w:marRight w:val="0"/>
      <w:marTop w:val="0"/>
      <w:marBottom w:val="0"/>
      <w:divBdr>
        <w:top w:val="none" w:sz="0" w:space="0" w:color="auto"/>
        <w:left w:val="none" w:sz="0" w:space="0" w:color="auto"/>
        <w:bottom w:val="none" w:sz="0" w:space="0" w:color="auto"/>
        <w:right w:val="none" w:sz="0" w:space="0" w:color="auto"/>
      </w:divBdr>
    </w:div>
    <w:div w:id="675421480">
      <w:bodyDiv w:val="1"/>
      <w:marLeft w:val="0"/>
      <w:marRight w:val="0"/>
      <w:marTop w:val="0"/>
      <w:marBottom w:val="0"/>
      <w:divBdr>
        <w:top w:val="none" w:sz="0" w:space="0" w:color="auto"/>
        <w:left w:val="none" w:sz="0" w:space="0" w:color="auto"/>
        <w:bottom w:val="none" w:sz="0" w:space="0" w:color="auto"/>
        <w:right w:val="none" w:sz="0" w:space="0" w:color="auto"/>
      </w:divBdr>
    </w:div>
    <w:div w:id="777061367">
      <w:bodyDiv w:val="1"/>
      <w:marLeft w:val="0"/>
      <w:marRight w:val="0"/>
      <w:marTop w:val="0"/>
      <w:marBottom w:val="0"/>
      <w:divBdr>
        <w:top w:val="none" w:sz="0" w:space="0" w:color="auto"/>
        <w:left w:val="none" w:sz="0" w:space="0" w:color="auto"/>
        <w:bottom w:val="none" w:sz="0" w:space="0" w:color="auto"/>
        <w:right w:val="none" w:sz="0" w:space="0" w:color="auto"/>
      </w:divBdr>
    </w:div>
    <w:div w:id="796601120">
      <w:bodyDiv w:val="1"/>
      <w:marLeft w:val="0"/>
      <w:marRight w:val="0"/>
      <w:marTop w:val="0"/>
      <w:marBottom w:val="0"/>
      <w:divBdr>
        <w:top w:val="none" w:sz="0" w:space="0" w:color="auto"/>
        <w:left w:val="none" w:sz="0" w:space="0" w:color="auto"/>
        <w:bottom w:val="none" w:sz="0" w:space="0" w:color="auto"/>
        <w:right w:val="none" w:sz="0" w:space="0" w:color="auto"/>
      </w:divBdr>
    </w:div>
    <w:div w:id="812676734">
      <w:bodyDiv w:val="1"/>
      <w:marLeft w:val="0"/>
      <w:marRight w:val="0"/>
      <w:marTop w:val="0"/>
      <w:marBottom w:val="0"/>
      <w:divBdr>
        <w:top w:val="none" w:sz="0" w:space="0" w:color="auto"/>
        <w:left w:val="none" w:sz="0" w:space="0" w:color="auto"/>
        <w:bottom w:val="none" w:sz="0" w:space="0" w:color="auto"/>
        <w:right w:val="none" w:sz="0" w:space="0" w:color="auto"/>
      </w:divBdr>
    </w:div>
    <w:div w:id="855772677">
      <w:bodyDiv w:val="1"/>
      <w:marLeft w:val="0"/>
      <w:marRight w:val="0"/>
      <w:marTop w:val="0"/>
      <w:marBottom w:val="0"/>
      <w:divBdr>
        <w:top w:val="none" w:sz="0" w:space="0" w:color="auto"/>
        <w:left w:val="none" w:sz="0" w:space="0" w:color="auto"/>
        <w:bottom w:val="none" w:sz="0" w:space="0" w:color="auto"/>
        <w:right w:val="none" w:sz="0" w:space="0" w:color="auto"/>
      </w:divBdr>
    </w:div>
    <w:div w:id="908150892">
      <w:bodyDiv w:val="1"/>
      <w:marLeft w:val="0"/>
      <w:marRight w:val="0"/>
      <w:marTop w:val="0"/>
      <w:marBottom w:val="0"/>
      <w:divBdr>
        <w:top w:val="none" w:sz="0" w:space="0" w:color="auto"/>
        <w:left w:val="none" w:sz="0" w:space="0" w:color="auto"/>
        <w:bottom w:val="none" w:sz="0" w:space="0" w:color="auto"/>
        <w:right w:val="none" w:sz="0" w:space="0" w:color="auto"/>
      </w:divBdr>
    </w:div>
    <w:div w:id="936250385">
      <w:bodyDiv w:val="1"/>
      <w:marLeft w:val="0"/>
      <w:marRight w:val="0"/>
      <w:marTop w:val="0"/>
      <w:marBottom w:val="0"/>
      <w:divBdr>
        <w:top w:val="none" w:sz="0" w:space="0" w:color="auto"/>
        <w:left w:val="none" w:sz="0" w:space="0" w:color="auto"/>
        <w:bottom w:val="none" w:sz="0" w:space="0" w:color="auto"/>
        <w:right w:val="none" w:sz="0" w:space="0" w:color="auto"/>
      </w:divBdr>
    </w:div>
    <w:div w:id="1146973219">
      <w:bodyDiv w:val="1"/>
      <w:marLeft w:val="0"/>
      <w:marRight w:val="0"/>
      <w:marTop w:val="0"/>
      <w:marBottom w:val="0"/>
      <w:divBdr>
        <w:top w:val="none" w:sz="0" w:space="0" w:color="auto"/>
        <w:left w:val="none" w:sz="0" w:space="0" w:color="auto"/>
        <w:bottom w:val="none" w:sz="0" w:space="0" w:color="auto"/>
        <w:right w:val="none" w:sz="0" w:space="0" w:color="auto"/>
      </w:divBdr>
    </w:div>
    <w:div w:id="1179081744">
      <w:bodyDiv w:val="1"/>
      <w:marLeft w:val="0"/>
      <w:marRight w:val="0"/>
      <w:marTop w:val="0"/>
      <w:marBottom w:val="0"/>
      <w:divBdr>
        <w:top w:val="none" w:sz="0" w:space="0" w:color="auto"/>
        <w:left w:val="none" w:sz="0" w:space="0" w:color="auto"/>
        <w:bottom w:val="none" w:sz="0" w:space="0" w:color="auto"/>
        <w:right w:val="none" w:sz="0" w:space="0" w:color="auto"/>
      </w:divBdr>
    </w:div>
    <w:div w:id="1353653322">
      <w:bodyDiv w:val="1"/>
      <w:marLeft w:val="0"/>
      <w:marRight w:val="0"/>
      <w:marTop w:val="0"/>
      <w:marBottom w:val="0"/>
      <w:divBdr>
        <w:top w:val="none" w:sz="0" w:space="0" w:color="auto"/>
        <w:left w:val="none" w:sz="0" w:space="0" w:color="auto"/>
        <w:bottom w:val="none" w:sz="0" w:space="0" w:color="auto"/>
        <w:right w:val="none" w:sz="0" w:space="0" w:color="auto"/>
      </w:divBdr>
    </w:div>
    <w:div w:id="1383169229">
      <w:bodyDiv w:val="1"/>
      <w:marLeft w:val="0"/>
      <w:marRight w:val="0"/>
      <w:marTop w:val="0"/>
      <w:marBottom w:val="0"/>
      <w:divBdr>
        <w:top w:val="none" w:sz="0" w:space="0" w:color="auto"/>
        <w:left w:val="none" w:sz="0" w:space="0" w:color="auto"/>
        <w:bottom w:val="none" w:sz="0" w:space="0" w:color="auto"/>
        <w:right w:val="none" w:sz="0" w:space="0" w:color="auto"/>
      </w:divBdr>
    </w:div>
    <w:div w:id="1410076842">
      <w:bodyDiv w:val="1"/>
      <w:marLeft w:val="0"/>
      <w:marRight w:val="0"/>
      <w:marTop w:val="0"/>
      <w:marBottom w:val="0"/>
      <w:divBdr>
        <w:top w:val="none" w:sz="0" w:space="0" w:color="auto"/>
        <w:left w:val="none" w:sz="0" w:space="0" w:color="auto"/>
        <w:bottom w:val="none" w:sz="0" w:space="0" w:color="auto"/>
        <w:right w:val="none" w:sz="0" w:space="0" w:color="auto"/>
      </w:divBdr>
    </w:div>
    <w:div w:id="1535384835">
      <w:bodyDiv w:val="1"/>
      <w:marLeft w:val="0"/>
      <w:marRight w:val="0"/>
      <w:marTop w:val="0"/>
      <w:marBottom w:val="0"/>
      <w:divBdr>
        <w:top w:val="none" w:sz="0" w:space="0" w:color="auto"/>
        <w:left w:val="none" w:sz="0" w:space="0" w:color="auto"/>
        <w:bottom w:val="none" w:sz="0" w:space="0" w:color="auto"/>
        <w:right w:val="none" w:sz="0" w:space="0" w:color="auto"/>
      </w:divBdr>
    </w:div>
    <w:div w:id="1601255610">
      <w:bodyDiv w:val="1"/>
      <w:marLeft w:val="0"/>
      <w:marRight w:val="0"/>
      <w:marTop w:val="0"/>
      <w:marBottom w:val="0"/>
      <w:divBdr>
        <w:top w:val="none" w:sz="0" w:space="0" w:color="auto"/>
        <w:left w:val="none" w:sz="0" w:space="0" w:color="auto"/>
        <w:bottom w:val="none" w:sz="0" w:space="0" w:color="auto"/>
        <w:right w:val="none" w:sz="0" w:space="0" w:color="auto"/>
      </w:divBdr>
    </w:div>
    <w:div w:id="1680043468">
      <w:bodyDiv w:val="1"/>
      <w:marLeft w:val="0"/>
      <w:marRight w:val="0"/>
      <w:marTop w:val="0"/>
      <w:marBottom w:val="0"/>
      <w:divBdr>
        <w:top w:val="none" w:sz="0" w:space="0" w:color="auto"/>
        <w:left w:val="none" w:sz="0" w:space="0" w:color="auto"/>
        <w:bottom w:val="none" w:sz="0" w:space="0" w:color="auto"/>
        <w:right w:val="none" w:sz="0" w:space="0" w:color="auto"/>
      </w:divBdr>
    </w:div>
    <w:div w:id="1725518602">
      <w:bodyDiv w:val="1"/>
      <w:marLeft w:val="0"/>
      <w:marRight w:val="0"/>
      <w:marTop w:val="0"/>
      <w:marBottom w:val="0"/>
      <w:divBdr>
        <w:top w:val="none" w:sz="0" w:space="0" w:color="auto"/>
        <w:left w:val="none" w:sz="0" w:space="0" w:color="auto"/>
        <w:bottom w:val="none" w:sz="0" w:space="0" w:color="auto"/>
        <w:right w:val="none" w:sz="0" w:space="0" w:color="auto"/>
      </w:divBdr>
    </w:div>
    <w:div w:id="1745104971">
      <w:bodyDiv w:val="1"/>
      <w:marLeft w:val="0"/>
      <w:marRight w:val="0"/>
      <w:marTop w:val="0"/>
      <w:marBottom w:val="0"/>
      <w:divBdr>
        <w:top w:val="none" w:sz="0" w:space="0" w:color="auto"/>
        <w:left w:val="none" w:sz="0" w:space="0" w:color="auto"/>
        <w:bottom w:val="none" w:sz="0" w:space="0" w:color="auto"/>
        <w:right w:val="none" w:sz="0" w:space="0" w:color="auto"/>
      </w:divBdr>
    </w:div>
    <w:div w:id="1839805058">
      <w:bodyDiv w:val="1"/>
      <w:marLeft w:val="0"/>
      <w:marRight w:val="0"/>
      <w:marTop w:val="0"/>
      <w:marBottom w:val="0"/>
      <w:divBdr>
        <w:top w:val="none" w:sz="0" w:space="0" w:color="auto"/>
        <w:left w:val="none" w:sz="0" w:space="0" w:color="auto"/>
        <w:bottom w:val="none" w:sz="0" w:space="0" w:color="auto"/>
        <w:right w:val="none" w:sz="0" w:space="0" w:color="auto"/>
      </w:divBdr>
    </w:div>
    <w:div w:id="1859808235">
      <w:bodyDiv w:val="1"/>
      <w:marLeft w:val="0"/>
      <w:marRight w:val="0"/>
      <w:marTop w:val="0"/>
      <w:marBottom w:val="0"/>
      <w:divBdr>
        <w:top w:val="none" w:sz="0" w:space="0" w:color="auto"/>
        <w:left w:val="none" w:sz="0" w:space="0" w:color="auto"/>
        <w:bottom w:val="none" w:sz="0" w:space="0" w:color="auto"/>
        <w:right w:val="none" w:sz="0" w:space="0" w:color="auto"/>
      </w:divBdr>
    </w:div>
    <w:div w:id="1995140644">
      <w:bodyDiv w:val="1"/>
      <w:marLeft w:val="0"/>
      <w:marRight w:val="0"/>
      <w:marTop w:val="0"/>
      <w:marBottom w:val="0"/>
      <w:divBdr>
        <w:top w:val="none" w:sz="0" w:space="0" w:color="auto"/>
        <w:left w:val="none" w:sz="0" w:space="0" w:color="auto"/>
        <w:bottom w:val="none" w:sz="0" w:space="0" w:color="auto"/>
        <w:right w:val="none" w:sz="0" w:space="0" w:color="auto"/>
      </w:divBdr>
    </w:div>
    <w:div w:id="2031182992">
      <w:bodyDiv w:val="1"/>
      <w:marLeft w:val="0"/>
      <w:marRight w:val="0"/>
      <w:marTop w:val="0"/>
      <w:marBottom w:val="0"/>
      <w:divBdr>
        <w:top w:val="none" w:sz="0" w:space="0" w:color="auto"/>
        <w:left w:val="none" w:sz="0" w:space="0" w:color="auto"/>
        <w:bottom w:val="none" w:sz="0" w:space="0" w:color="auto"/>
        <w:right w:val="none" w:sz="0" w:space="0" w:color="auto"/>
      </w:divBdr>
    </w:div>
    <w:div w:id="204197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CB76D-377D-41A0-914E-CC33AC9BD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Doggett</dc:creator>
  <cp:lastModifiedBy>Ben Doggett</cp:lastModifiedBy>
  <cp:revision>4</cp:revision>
  <dcterms:created xsi:type="dcterms:W3CDTF">2025-07-22T08:24:00Z</dcterms:created>
  <dcterms:modified xsi:type="dcterms:W3CDTF">2025-07-22T08:52:00Z</dcterms:modified>
</cp:coreProperties>
</file>