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1A4F7" w14:textId="77777777" w:rsidR="001D1865" w:rsidRDefault="001D1865" w:rsidP="00050769">
      <w:pPr>
        <w:spacing w:after="0" w:line="240" w:lineRule="auto"/>
        <w:rPr>
          <w:b/>
          <w:bCs/>
          <w:sz w:val="26"/>
          <w:szCs w:val="26"/>
        </w:rPr>
      </w:pPr>
    </w:p>
    <w:p w14:paraId="6BA9ED67" w14:textId="35C67A26" w:rsidR="001D1865" w:rsidRDefault="001D1865" w:rsidP="00050769">
      <w:pPr>
        <w:spacing w:after="0" w:line="240" w:lineRule="auto"/>
        <w:rPr>
          <w:b/>
          <w:bCs/>
          <w:sz w:val="26"/>
          <w:szCs w:val="26"/>
        </w:rPr>
      </w:pPr>
    </w:p>
    <w:p w14:paraId="27DC875E" w14:textId="02F50587" w:rsidR="001D1865" w:rsidRDefault="001D1865" w:rsidP="00050769">
      <w:pPr>
        <w:spacing w:after="0" w:line="240" w:lineRule="auto"/>
        <w:rPr>
          <w:b/>
          <w:bCs/>
          <w:sz w:val="26"/>
          <w:szCs w:val="26"/>
        </w:rPr>
      </w:pPr>
      <w:r w:rsidRPr="001D1865">
        <w:rPr>
          <w:b/>
          <w:bCs/>
          <w:noProof/>
          <w:sz w:val="26"/>
          <w:szCs w:val="26"/>
          <w:lang w:eastAsia="en-GB"/>
        </w:rPr>
        <w:drawing>
          <wp:anchor distT="0" distB="0" distL="114300" distR="114300" simplePos="0" relativeHeight="251661312" behindDoc="0" locked="0" layoutInCell="1" allowOverlap="1" wp14:anchorId="6B8B731F" wp14:editId="0CE1B808">
            <wp:simplePos x="0" y="0"/>
            <wp:positionH relativeFrom="margin">
              <wp:align>center</wp:align>
            </wp:positionH>
            <wp:positionV relativeFrom="paragraph">
              <wp:posOffset>125228</wp:posOffset>
            </wp:positionV>
            <wp:extent cx="6537277" cy="1024914"/>
            <wp:effectExtent l="0" t="0" r="0" b="3810"/>
            <wp:wrapNone/>
            <wp:docPr id="1" name="Picture 1" descr="C:\Users\Tanya.Kelvie\AppData\Local\Microsoft\Windows\Temporary Internet Files\Content.Outlook\X2C1YOLL\IMG_4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nya.Kelvie\AppData\Local\Microsoft\Windows\Temporary Internet Files\Content.Outlook\X2C1YOLL\IMG_407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37277" cy="10249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165DD2" w14:textId="3FB0D40B" w:rsidR="001D1865" w:rsidRDefault="001D1865" w:rsidP="00050769">
      <w:pPr>
        <w:spacing w:after="0" w:line="240" w:lineRule="auto"/>
        <w:rPr>
          <w:b/>
          <w:bCs/>
          <w:sz w:val="26"/>
          <w:szCs w:val="26"/>
        </w:rPr>
      </w:pPr>
    </w:p>
    <w:p w14:paraId="69E2EEE8" w14:textId="4BBBD3A5" w:rsidR="001D1865" w:rsidRDefault="001D1865" w:rsidP="00050769">
      <w:pPr>
        <w:spacing w:after="0" w:line="240" w:lineRule="auto"/>
        <w:rPr>
          <w:b/>
          <w:bCs/>
          <w:sz w:val="26"/>
          <w:szCs w:val="26"/>
        </w:rPr>
      </w:pPr>
    </w:p>
    <w:p w14:paraId="50B9A120" w14:textId="4F41860E" w:rsidR="001D1865" w:rsidRDefault="001D1865" w:rsidP="00050769">
      <w:pPr>
        <w:spacing w:after="0" w:line="240" w:lineRule="auto"/>
        <w:rPr>
          <w:b/>
          <w:bCs/>
          <w:sz w:val="26"/>
          <w:szCs w:val="26"/>
        </w:rPr>
      </w:pPr>
    </w:p>
    <w:p w14:paraId="1B76E2D8" w14:textId="61F5A5FC" w:rsidR="001D1865" w:rsidRDefault="001D1865" w:rsidP="00050769">
      <w:pPr>
        <w:spacing w:after="0" w:line="240" w:lineRule="auto"/>
        <w:rPr>
          <w:b/>
          <w:bCs/>
          <w:sz w:val="26"/>
          <w:szCs w:val="26"/>
        </w:rPr>
      </w:pPr>
    </w:p>
    <w:p w14:paraId="21BD0CC1" w14:textId="36FBED84" w:rsidR="001D1865" w:rsidRDefault="001D1865" w:rsidP="00050769">
      <w:pPr>
        <w:spacing w:after="0" w:line="240" w:lineRule="auto"/>
        <w:rPr>
          <w:b/>
          <w:bCs/>
          <w:sz w:val="26"/>
          <w:szCs w:val="26"/>
        </w:rPr>
      </w:pPr>
    </w:p>
    <w:p w14:paraId="2F56A5C8" w14:textId="4D308630" w:rsidR="001D1865" w:rsidRDefault="001D1865" w:rsidP="00050769">
      <w:pPr>
        <w:spacing w:after="0" w:line="240" w:lineRule="auto"/>
        <w:rPr>
          <w:b/>
          <w:bCs/>
          <w:sz w:val="26"/>
          <w:szCs w:val="26"/>
        </w:rPr>
      </w:pPr>
    </w:p>
    <w:p w14:paraId="0F03DB3B" w14:textId="461098EA" w:rsidR="001D1865" w:rsidRDefault="001D1865" w:rsidP="00050769">
      <w:pPr>
        <w:spacing w:after="0" w:line="240" w:lineRule="auto"/>
        <w:rPr>
          <w:b/>
          <w:bCs/>
          <w:sz w:val="26"/>
          <w:szCs w:val="26"/>
        </w:rPr>
      </w:pPr>
      <w:r w:rsidRPr="001D1865">
        <w:rPr>
          <w:b/>
          <w:bCs/>
          <w:noProof/>
          <w:sz w:val="26"/>
          <w:szCs w:val="26"/>
          <w:lang w:eastAsia="en-GB"/>
        </w:rPr>
        <w:drawing>
          <wp:anchor distT="0" distB="0" distL="114300" distR="114300" simplePos="0" relativeHeight="251662336" behindDoc="0" locked="0" layoutInCell="1" allowOverlap="1" wp14:anchorId="403EC4D8" wp14:editId="05C71EE1">
            <wp:simplePos x="0" y="0"/>
            <wp:positionH relativeFrom="margin">
              <wp:align>center</wp:align>
            </wp:positionH>
            <wp:positionV relativeFrom="paragraph">
              <wp:posOffset>13733</wp:posOffset>
            </wp:positionV>
            <wp:extent cx="1830933" cy="982639"/>
            <wp:effectExtent l="0" t="0" r="0" b="8255"/>
            <wp:wrapNone/>
            <wp:docPr id="5" name="Picture 5" descr="C:\Users\Tanya.Kelvie\AppData\Local\Microsoft\Windows\Temporary Internet Files\Content.Outlook\X2C1YOLL\IMG_4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ya.Kelvie\AppData\Local\Microsoft\Windows\Temporary Internet Files\Content.Outlook\X2C1YOLL\IMG_407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0933" cy="9826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7C8293" w14:textId="629BF882" w:rsidR="001D1865" w:rsidRDefault="001D1865" w:rsidP="00050769">
      <w:pPr>
        <w:spacing w:after="0" w:line="240" w:lineRule="auto"/>
        <w:rPr>
          <w:b/>
          <w:bCs/>
          <w:sz w:val="26"/>
          <w:szCs w:val="26"/>
        </w:rPr>
      </w:pPr>
    </w:p>
    <w:p w14:paraId="43687C44" w14:textId="25E7CC19" w:rsidR="001D1865" w:rsidRDefault="001D1865" w:rsidP="00050769">
      <w:pPr>
        <w:spacing w:after="0" w:line="240" w:lineRule="auto"/>
        <w:rPr>
          <w:b/>
          <w:bCs/>
          <w:sz w:val="26"/>
          <w:szCs w:val="26"/>
        </w:rPr>
      </w:pPr>
    </w:p>
    <w:p w14:paraId="7388D90B" w14:textId="68EC94C5" w:rsidR="001D1865" w:rsidRDefault="001D1865" w:rsidP="00050769">
      <w:pPr>
        <w:spacing w:after="0" w:line="240" w:lineRule="auto"/>
        <w:rPr>
          <w:b/>
          <w:bCs/>
          <w:sz w:val="26"/>
          <w:szCs w:val="26"/>
        </w:rPr>
      </w:pPr>
    </w:p>
    <w:p w14:paraId="404235D4" w14:textId="75A2457D" w:rsidR="001D1865" w:rsidRDefault="001D1865" w:rsidP="00050769">
      <w:pPr>
        <w:spacing w:after="0" w:line="240" w:lineRule="auto"/>
        <w:rPr>
          <w:b/>
          <w:bCs/>
          <w:sz w:val="26"/>
          <w:szCs w:val="26"/>
        </w:rPr>
      </w:pPr>
    </w:p>
    <w:p w14:paraId="797DCB88" w14:textId="141E4860" w:rsidR="001D1865" w:rsidRDefault="001D1865" w:rsidP="00050769">
      <w:pPr>
        <w:spacing w:after="0" w:line="240" w:lineRule="auto"/>
        <w:rPr>
          <w:b/>
          <w:bCs/>
          <w:sz w:val="26"/>
          <w:szCs w:val="26"/>
        </w:rPr>
      </w:pPr>
    </w:p>
    <w:p w14:paraId="1ECFDA91" w14:textId="1406F741" w:rsidR="001D1865" w:rsidRDefault="001D1865" w:rsidP="00050769">
      <w:pPr>
        <w:spacing w:after="0" w:line="240" w:lineRule="auto"/>
        <w:rPr>
          <w:b/>
          <w:bCs/>
          <w:sz w:val="26"/>
          <w:szCs w:val="26"/>
        </w:rPr>
      </w:pPr>
    </w:p>
    <w:p w14:paraId="5714BF2B" w14:textId="0CF7D413" w:rsidR="001D1865" w:rsidRDefault="001D1865" w:rsidP="00050769">
      <w:pPr>
        <w:spacing w:after="0" w:line="240" w:lineRule="auto"/>
        <w:rPr>
          <w:b/>
          <w:bCs/>
          <w:sz w:val="26"/>
          <w:szCs w:val="26"/>
        </w:rPr>
      </w:pPr>
    </w:p>
    <w:p w14:paraId="138E094A" w14:textId="77777777" w:rsidR="001D1865" w:rsidRDefault="001D1865" w:rsidP="001D1865">
      <w:pPr>
        <w:spacing w:after="0" w:line="240" w:lineRule="auto"/>
        <w:rPr>
          <w:b/>
          <w:bCs/>
          <w:sz w:val="26"/>
          <w:szCs w:val="26"/>
        </w:rPr>
      </w:pPr>
    </w:p>
    <w:tbl>
      <w:tblPr>
        <w:tblStyle w:val="TableGrid"/>
        <w:tblW w:w="0" w:type="auto"/>
        <w:tblLayout w:type="fixed"/>
        <w:tblLook w:val="04A0" w:firstRow="1" w:lastRow="0" w:firstColumn="1" w:lastColumn="0" w:noHBand="0" w:noVBand="1"/>
      </w:tblPr>
      <w:tblGrid>
        <w:gridCol w:w="1838"/>
        <w:gridCol w:w="4323"/>
        <w:gridCol w:w="3081"/>
      </w:tblGrid>
      <w:tr w:rsidR="001D1865" w14:paraId="4AB0945F" w14:textId="77777777" w:rsidTr="001D1865">
        <w:tc>
          <w:tcPr>
            <w:tcW w:w="1838" w:type="dxa"/>
            <w:vMerge w:val="restart"/>
          </w:tcPr>
          <w:p w14:paraId="4B07119B" w14:textId="77777777" w:rsidR="001D1865" w:rsidRPr="00B0628D" w:rsidRDefault="001D1865" w:rsidP="009A5B49">
            <w:pPr>
              <w:rPr>
                <w:sz w:val="24"/>
              </w:rPr>
            </w:pPr>
            <w:r>
              <w:rPr>
                <w:noProof/>
                <w:lang w:eastAsia="en-GB"/>
              </w:rPr>
              <w:drawing>
                <wp:anchor distT="0" distB="0" distL="114300" distR="114300" simplePos="0" relativeHeight="251666432" behindDoc="0" locked="0" layoutInCell="1" allowOverlap="1" wp14:anchorId="39C2CC72" wp14:editId="592F9BA1">
                  <wp:simplePos x="0" y="0"/>
                  <wp:positionH relativeFrom="column">
                    <wp:posOffset>267354</wp:posOffset>
                  </wp:positionH>
                  <wp:positionV relativeFrom="paragraph">
                    <wp:posOffset>100965</wp:posOffset>
                  </wp:positionV>
                  <wp:extent cx="622300" cy="647700"/>
                  <wp:effectExtent l="0" t="0" r="6350" b="0"/>
                  <wp:wrapNone/>
                  <wp:docPr id="2" name="Picture 2" descr="C:\Users\Tanya.Kelvie\AppData\Local\Microsoft\Windows\Temporary Internet Files\Content.Outlook\X2C1YOLL\IMG_4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nya.Kelvie\AppData\Local\Microsoft\Windows\Temporary Internet Files\Content.Outlook\X2C1YOLL\IMG_4075.JPG"/>
                          <pic:cNvPicPr>
                            <a:picLocks noChangeAspect="1" noChangeArrowheads="1"/>
                          </pic:cNvPicPr>
                        </pic:nvPicPr>
                        <pic:blipFill rotWithShape="1">
                          <a:blip r:embed="rId7">
                            <a:extLst>
                              <a:ext uri="{28A0092B-C50C-407E-A947-70E740481C1C}">
                                <a14:useLocalDpi xmlns:a14="http://schemas.microsoft.com/office/drawing/2010/main" val="0"/>
                              </a:ext>
                            </a:extLst>
                          </a:blip>
                          <a:srcRect r="84937"/>
                          <a:stretch/>
                        </pic:blipFill>
                        <pic:spPr bwMode="auto">
                          <a:xfrm>
                            <a:off x="0" y="0"/>
                            <a:ext cx="622300" cy="647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3B4A36" w14:textId="77777777" w:rsidR="001D1865" w:rsidRDefault="001D1865" w:rsidP="009A5B49">
            <w:pPr>
              <w:rPr>
                <w:noProof/>
              </w:rPr>
            </w:pPr>
          </w:p>
          <w:p w14:paraId="229AF0D5" w14:textId="77777777" w:rsidR="001D1865" w:rsidRPr="00B0628D" w:rsidRDefault="001D1865" w:rsidP="009A5B49">
            <w:pPr>
              <w:rPr>
                <w:sz w:val="24"/>
              </w:rPr>
            </w:pPr>
          </w:p>
        </w:tc>
        <w:tc>
          <w:tcPr>
            <w:tcW w:w="7404" w:type="dxa"/>
            <w:gridSpan w:val="2"/>
          </w:tcPr>
          <w:p w14:paraId="2D15CE7B" w14:textId="439CDB70" w:rsidR="001D1865" w:rsidRPr="00B0628D" w:rsidRDefault="001D1865" w:rsidP="009A5B49">
            <w:pPr>
              <w:jc w:val="center"/>
              <w:rPr>
                <w:b/>
                <w:sz w:val="28"/>
              </w:rPr>
            </w:pPr>
            <w:r>
              <w:rPr>
                <w:b/>
                <w:sz w:val="32"/>
                <w:szCs w:val="26"/>
              </w:rPr>
              <w:t>Provider Access</w:t>
            </w:r>
            <w:r w:rsidRPr="00B0628D">
              <w:rPr>
                <w:b/>
                <w:sz w:val="32"/>
                <w:szCs w:val="26"/>
              </w:rPr>
              <w:t xml:space="preserve"> Policy</w:t>
            </w:r>
          </w:p>
          <w:p w14:paraId="389F19E1" w14:textId="77777777" w:rsidR="001D1865" w:rsidRPr="00B0628D" w:rsidRDefault="001D1865" w:rsidP="009A5B49">
            <w:pPr>
              <w:rPr>
                <w:sz w:val="24"/>
              </w:rPr>
            </w:pPr>
          </w:p>
        </w:tc>
      </w:tr>
      <w:tr w:rsidR="001D1865" w14:paraId="2D4E2D8A" w14:textId="77777777" w:rsidTr="001D1865">
        <w:tc>
          <w:tcPr>
            <w:tcW w:w="1838" w:type="dxa"/>
            <w:vMerge/>
          </w:tcPr>
          <w:p w14:paraId="7338CCDC" w14:textId="77777777" w:rsidR="001D1865" w:rsidRPr="00B0628D" w:rsidRDefault="001D1865" w:rsidP="009A5B49">
            <w:pPr>
              <w:rPr>
                <w:sz w:val="24"/>
              </w:rPr>
            </w:pPr>
          </w:p>
        </w:tc>
        <w:tc>
          <w:tcPr>
            <w:tcW w:w="7404" w:type="dxa"/>
            <w:gridSpan w:val="2"/>
          </w:tcPr>
          <w:p w14:paraId="5F6B2A9A" w14:textId="1417EA6B" w:rsidR="001D1865" w:rsidRPr="00B0628D" w:rsidRDefault="001D1865" w:rsidP="009A5B49">
            <w:pPr>
              <w:rPr>
                <w:sz w:val="24"/>
              </w:rPr>
            </w:pPr>
            <w:r>
              <w:rPr>
                <w:sz w:val="24"/>
              </w:rPr>
              <w:t>Approved by</w:t>
            </w:r>
            <w:r w:rsidR="00312F94">
              <w:rPr>
                <w:sz w:val="24"/>
              </w:rPr>
              <w:t>:</w:t>
            </w:r>
            <w:r w:rsidR="00E2712D">
              <w:rPr>
                <w:sz w:val="24"/>
              </w:rPr>
              <w:t xml:space="preserve"> </w:t>
            </w:r>
          </w:p>
        </w:tc>
      </w:tr>
      <w:tr w:rsidR="001D1865" w14:paraId="42A7D3B8" w14:textId="77777777" w:rsidTr="001D1865">
        <w:tc>
          <w:tcPr>
            <w:tcW w:w="1838" w:type="dxa"/>
            <w:vMerge/>
          </w:tcPr>
          <w:p w14:paraId="18FD300F" w14:textId="77777777" w:rsidR="001D1865" w:rsidRPr="00B0628D" w:rsidRDefault="001D1865" w:rsidP="001D1865">
            <w:pPr>
              <w:rPr>
                <w:sz w:val="24"/>
              </w:rPr>
            </w:pPr>
          </w:p>
        </w:tc>
        <w:tc>
          <w:tcPr>
            <w:tcW w:w="4323" w:type="dxa"/>
          </w:tcPr>
          <w:p w14:paraId="44295D9B" w14:textId="6D621DF1" w:rsidR="001D1865" w:rsidRPr="00B0628D" w:rsidRDefault="001D1865" w:rsidP="001D1865">
            <w:pPr>
              <w:rPr>
                <w:sz w:val="24"/>
              </w:rPr>
            </w:pPr>
            <w:r w:rsidRPr="00B0628D">
              <w:rPr>
                <w:sz w:val="24"/>
              </w:rPr>
              <w:t xml:space="preserve">Last Review: </w:t>
            </w:r>
            <w:r w:rsidR="000F2D62">
              <w:rPr>
                <w:sz w:val="24"/>
              </w:rPr>
              <w:t>22</w:t>
            </w:r>
            <w:r w:rsidR="00E2712D">
              <w:rPr>
                <w:sz w:val="24"/>
              </w:rPr>
              <w:t>/7/2</w:t>
            </w:r>
            <w:r w:rsidR="000F2D62">
              <w:rPr>
                <w:sz w:val="24"/>
              </w:rPr>
              <w:t>5</w:t>
            </w:r>
          </w:p>
        </w:tc>
        <w:tc>
          <w:tcPr>
            <w:tcW w:w="3081" w:type="dxa"/>
          </w:tcPr>
          <w:p w14:paraId="01F8D8F5" w14:textId="08678BA7" w:rsidR="001D1865" w:rsidRDefault="001D1865" w:rsidP="001D1865">
            <w:pPr>
              <w:rPr>
                <w:sz w:val="24"/>
              </w:rPr>
            </w:pPr>
            <w:r>
              <w:rPr>
                <w:sz w:val="24"/>
              </w:rPr>
              <w:t xml:space="preserve">Next Review: </w:t>
            </w:r>
            <w:r w:rsidR="000F2D62">
              <w:rPr>
                <w:sz w:val="24"/>
              </w:rPr>
              <w:t>22</w:t>
            </w:r>
            <w:r w:rsidR="00E2712D">
              <w:rPr>
                <w:sz w:val="24"/>
              </w:rPr>
              <w:t>/7/2</w:t>
            </w:r>
            <w:r w:rsidR="000F2D62">
              <w:rPr>
                <w:sz w:val="24"/>
              </w:rPr>
              <w:t>6</w:t>
            </w:r>
          </w:p>
        </w:tc>
      </w:tr>
    </w:tbl>
    <w:p w14:paraId="5843615A" w14:textId="77777777" w:rsidR="001D1865" w:rsidRDefault="001D1865" w:rsidP="00050769">
      <w:pPr>
        <w:spacing w:after="0" w:line="240" w:lineRule="auto"/>
        <w:rPr>
          <w:b/>
          <w:bCs/>
          <w:sz w:val="26"/>
          <w:szCs w:val="26"/>
        </w:rPr>
      </w:pPr>
    </w:p>
    <w:p w14:paraId="4B5EADE0" w14:textId="77777777" w:rsidR="001D1865" w:rsidRDefault="001D1865" w:rsidP="00050769">
      <w:pPr>
        <w:spacing w:after="0" w:line="240" w:lineRule="auto"/>
        <w:rPr>
          <w:b/>
          <w:bCs/>
          <w:sz w:val="26"/>
          <w:szCs w:val="26"/>
        </w:rPr>
      </w:pPr>
    </w:p>
    <w:p w14:paraId="04CEA490" w14:textId="739B2396" w:rsidR="001D1865" w:rsidRDefault="001D1865" w:rsidP="00050769">
      <w:pPr>
        <w:spacing w:after="0" w:line="240" w:lineRule="auto"/>
        <w:rPr>
          <w:b/>
          <w:bCs/>
          <w:sz w:val="26"/>
          <w:szCs w:val="26"/>
        </w:rPr>
      </w:pPr>
    </w:p>
    <w:p w14:paraId="21B131C6" w14:textId="25CF2B35" w:rsidR="001D1865" w:rsidRDefault="001D1865" w:rsidP="00050769">
      <w:pPr>
        <w:spacing w:after="0" w:line="240" w:lineRule="auto"/>
        <w:rPr>
          <w:b/>
          <w:bCs/>
          <w:sz w:val="26"/>
          <w:szCs w:val="26"/>
        </w:rPr>
      </w:pPr>
    </w:p>
    <w:p w14:paraId="17B96586" w14:textId="3E789448" w:rsidR="001D1865" w:rsidRDefault="001D1865" w:rsidP="00050769">
      <w:pPr>
        <w:spacing w:after="0" w:line="240" w:lineRule="auto"/>
        <w:rPr>
          <w:b/>
          <w:bCs/>
          <w:sz w:val="26"/>
          <w:szCs w:val="26"/>
        </w:rPr>
      </w:pPr>
    </w:p>
    <w:p w14:paraId="32DD5663" w14:textId="7047F1B3" w:rsidR="001D1865" w:rsidRDefault="001D1865" w:rsidP="00050769">
      <w:pPr>
        <w:spacing w:after="0" w:line="240" w:lineRule="auto"/>
        <w:rPr>
          <w:b/>
          <w:bCs/>
          <w:sz w:val="26"/>
          <w:szCs w:val="26"/>
        </w:rPr>
      </w:pPr>
    </w:p>
    <w:p w14:paraId="131042C9" w14:textId="71DEDC14" w:rsidR="001D1865" w:rsidRDefault="001D1865" w:rsidP="00050769">
      <w:pPr>
        <w:spacing w:after="0" w:line="240" w:lineRule="auto"/>
        <w:rPr>
          <w:b/>
          <w:bCs/>
          <w:sz w:val="26"/>
          <w:szCs w:val="26"/>
        </w:rPr>
      </w:pPr>
    </w:p>
    <w:p w14:paraId="0DADDAEA" w14:textId="61B3E8FF" w:rsidR="001D1865" w:rsidRDefault="001D1865" w:rsidP="00050769">
      <w:pPr>
        <w:spacing w:after="0" w:line="240" w:lineRule="auto"/>
        <w:rPr>
          <w:b/>
          <w:bCs/>
          <w:sz w:val="26"/>
          <w:szCs w:val="26"/>
        </w:rPr>
      </w:pPr>
    </w:p>
    <w:p w14:paraId="4DFE5BFF" w14:textId="321C2BEA" w:rsidR="001D1865" w:rsidRDefault="001D1865" w:rsidP="00050769">
      <w:pPr>
        <w:spacing w:after="0" w:line="240" w:lineRule="auto"/>
        <w:rPr>
          <w:b/>
          <w:bCs/>
          <w:sz w:val="26"/>
          <w:szCs w:val="26"/>
        </w:rPr>
      </w:pPr>
    </w:p>
    <w:p w14:paraId="7DCD8785" w14:textId="50D4FF83" w:rsidR="001D1865" w:rsidRDefault="001D1865" w:rsidP="00050769">
      <w:pPr>
        <w:spacing w:after="0" w:line="240" w:lineRule="auto"/>
        <w:rPr>
          <w:b/>
          <w:bCs/>
          <w:sz w:val="26"/>
          <w:szCs w:val="26"/>
        </w:rPr>
      </w:pPr>
    </w:p>
    <w:p w14:paraId="165B2AB8" w14:textId="42829E6C" w:rsidR="001D1865" w:rsidRDefault="001D1865" w:rsidP="00050769">
      <w:pPr>
        <w:spacing w:after="0" w:line="240" w:lineRule="auto"/>
        <w:rPr>
          <w:b/>
          <w:bCs/>
          <w:sz w:val="26"/>
          <w:szCs w:val="26"/>
        </w:rPr>
      </w:pPr>
    </w:p>
    <w:p w14:paraId="28047D50" w14:textId="4F482500" w:rsidR="001D1865" w:rsidRDefault="001D1865" w:rsidP="00050769">
      <w:pPr>
        <w:spacing w:after="0" w:line="240" w:lineRule="auto"/>
        <w:rPr>
          <w:b/>
          <w:bCs/>
          <w:sz w:val="26"/>
          <w:szCs w:val="26"/>
        </w:rPr>
      </w:pPr>
    </w:p>
    <w:p w14:paraId="1DC06105" w14:textId="7856C57E" w:rsidR="001D1865" w:rsidRDefault="001D1865" w:rsidP="00050769">
      <w:pPr>
        <w:spacing w:after="0" w:line="240" w:lineRule="auto"/>
        <w:rPr>
          <w:b/>
          <w:bCs/>
          <w:sz w:val="26"/>
          <w:szCs w:val="26"/>
        </w:rPr>
      </w:pPr>
    </w:p>
    <w:p w14:paraId="33E37A52" w14:textId="38D865E5" w:rsidR="001D1865" w:rsidRDefault="001D1865" w:rsidP="00050769">
      <w:pPr>
        <w:spacing w:after="0" w:line="240" w:lineRule="auto"/>
        <w:rPr>
          <w:b/>
          <w:bCs/>
          <w:sz w:val="26"/>
          <w:szCs w:val="26"/>
        </w:rPr>
      </w:pPr>
    </w:p>
    <w:p w14:paraId="60C9CE51" w14:textId="38FCE83F" w:rsidR="001D1865" w:rsidRDefault="001D1865" w:rsidP="00050769">
      <w:pPr>
        <w:spacing w:after="0" w:line="240" w:lineRule="auto"/>
        <w:rPr>
          <w:b/>
          <w:bCs/>
          <w:sz w:val="26"/>
          <w:szCs w:val="26"/>
        </w:rPr>
      </w:pPr>
    </w:p>
    <w:p w14:paraId="5966852A" w14:textId="4D0F72A6" w:rsidR="001D1865" w:rsidRDefault="001D1865" w:rsidP="00050769">
      <w:pPr>
        <w:spacing w:after="0" w:line="240" w:lineRule="auto"/>
        <w:rPr>
          <w:b/>
          <w:bCs/>
          <w:sz w:val="26"/>
          <w:szCs w:val="26"/>
        </w:rPr>
      </w:pPr>
    </w:p>
    <w:p w14:paraId="64AE34B3" w14:textId="0A28B489" w:rsidR="001D1865" w:rsidRDefault="001D1865" w:rsidP="00050769">
      <w:pPr>
        <w:spacing w:after="0" w:line="240" w:lineRule="auto"/>
        <w:rPr>
          <w:b/>
          <w:bCs/>
          <w:sz w:val="26"/>
          <w:szCs w:val="26"/>
        </w:rPr>
      </w:pPr>
    </w:p>
    <w:p w14:paraId="56A2A8C3" w14:textId="39311523" w:rsidR="001D1865" w:rsidRDefault="001D1865" w:rsidP="00050769">
      <w:pPr>
        <w:spacing w:after="0" w:line="240" w:lineRule="auto"/>
        <w:rPr>
          <w:b/>
          <w:bCs/>
          <w:sz w:val="26"/>
          <w:szCs w:val="26"/>
        </w:rPr>
      </w:pPr>
    </w:p>
    <w:p w14:paraId="2B04A074" w14:textId="6B8C5994" w:rsidR="001D1865" w:rsidRDefault="001D1865" w:rsidP="00050769">
      <w:pPr>
        <w:spacing w:after="0" w:line="240" w:lineRule="auto"/>
        <w:rPr>
          <w:b/>
          <w:bCs/>
          <w:sz w:val="26"/>
          <w:szCs w:val="26"/>
        </w:rPr>
      </w:pPr>
    </w:p>
    <w:p w14:paraId="025581FF" w14:textId="2568D799" w:rsidR="001D1865" w:rsidRDefault="001D1865" w:rsidP="00050769">
      <w:pPr>
        <w:spacing w:after="0" w:line="240" w:lineRule="auto"/>
        <w:rPr>
          <w:b/>
          <w:bCs/>
          <w:sz w:val="26"/>
          <w:szCs w:val="26"/>
        </w:rPr>
      </w:pPr>
    </w:p>
    <w:p w14:paraId="4223D8C2" w14:textId="743F6297" w:rsidR="001D1865" w:rsidRDefault="001D1865" w:rsidP="00050769">
      <w:pPr>
        <w:spacing w:after="0" w:line="240" w:lineRule="auto"/>
        <w:rPr>
          <w:b/>
          <w:bCs/>
          <w:sz w:val="26"/>
          <w:szCs w:val="26"/>
        </w:rPr>
      </w:pPr>
    </w:p>
    <w:p w14:paraId="3EB62C13" w14:textId="77777777" w:rsidR="001D1865" w:rsidRDefault="001D1865" w:rsidP="00050769">
      <w:pPr>
        <w:spacing w:after="0" w:line="240" w:lineRule="auto"/>
        <w:rPr>
          <w:b/>
          <w:bCs/>
          <w:sz w:val="26"/>
          <w:szCs w:val="26"/>
        </w:rPr>
      </w:pPr>
    </w:p>
    <w:p w14:paraId="3CFD5741" w14:textId="77777777" w:rsidR="001D1865" w:rsidRDefault="001D1865" w:rsidP="00050769">
      <w:pPr>
        <w:spacing w:after="0" w:line="240" w:lineRule="auto"/>
        <w:rPr>
          <w:b/>
          <w:bCs/>
          <w:sz w:val="26"/>
          <w:szCs w:val="26"/>
        </w:rPr>
      </w:pPr>
    </w:p>
    <w:p w14:paraId="6E17FE38" w14:textId="6C4919F2" w:rsidR="00A303A3" w:rsidRDefault="00A303A3" w:rsidP="00A303A3">
      <w:pPr>
        <w:spacing w:after="0" w:line="240" w:lineRule="auto"/>
        <w:rPr>
          <w:b/>
          <w:bCs/>
          <w:sz w:val="26"/>
          <w:szCs w:val="26"/>
        </w:rPr>
      </w:pPr>
      <w:r>
        <w:rPr>
          <w:b/>
          <w:bCs/>
          <w:noProof/>
          <w:sz w:val="26"/>
          <w:szCs w:val="26"/>
          <w:lang w:eastAsia="en-GB"/>
        </w:rPr>
        <w:lastRenderedPageBreak/>
        <w:drawing>
          <wp:anchor distT="0" distB="0" distL="114300" distR="114300" simplePos="0" relativeHeight="251667456" behindDoc="0" locked="0" layoutInCell="1" allowOverlap="1" wp14:anchorId="3797C744" wp14:editId="11D6C696">
            <wp:simplePos x="0" y="0"/>
            <wp:positionH relativeFrom="margin">
              <wp:posOffset>741680</wp:posOffset>
            </wp:positionH>
            <wp:positionV relativeFrom="paragraph">
              <wp:posOffset>10795</wp:posOffset>
            </wp:positionV>
            <wp:extent cx="622300" cy="64770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300" cy="647700"/>
                    </a:xfrm>
                    <a:prstGeom prst="rect">
                      <a:avLst/>
                    </a:prstGeom>
                    <a:noFill/>
                  </pic:spPr>
                </pic:pic>
              </a:graphicData>
            </a:graphic>
            <wp14:sizeRelH relativeFrom="margin">
              <wp14:pctWidth>0</wp14:pctWidth>
            </wp14:sizeRelH>
            <wp14:sizeRelV relativeFrom="margin">
              <wp14:pctHeight>0</wp14:pctHeight>
            </wp14:sizeRelV>
          </wp:anchor>
        </w:drawing>
      </w:r>
    </w:p>
    <w:p w14:paraId="1D55A0F4" w14:textId="233967A0" w:rsidR="001D1865" w:rsidRPr="00A303A3" w:rsidRDefault="00597D88" w:rsidP="00A303A3">
      <w:pPr>
        <w:spacing w:after="0" w:line="240" w:lineRule="auto"/>
        <w:rPr>
          <w:b/>
          <w:bCs/>
          <w:sz w:val="32"/>
          <w:szCs w:val="26"/>
        </w:rPr>
      </w:pPr>
      <w:r w:rsidRPr="00A303A3">
        <w:rPr>
          <w:b/>
          <w:bCs/>
          <w:sz w:val="32"/>
          <w:szCs w:val="26"/>
        </w:rPr>
        <w:t>Aylesford School</w:t>
      </w:r>
      <w:r w:rsidR="00050769" w:rsidRPr="00A303A3">
        <w:rPr>
          <w:b/>
          <w:bCs/>
          <w:sz w:val="32"/>
          <w:szCs w:val="26"/>
        </w:rPr>
        <w:t>: Provider Access Polic</w:t>
      </w:r>
      <w:r w:rsidR="008563E2" w:rsidRPr="00A303A3">
        <w:rPr>
          <w:b/>
          <w:bCs/>
          <w:sz w:val="32"/>
          <w:szCs w:val="26"/>
        </w:rPr>
        <w:t>y</w:t>
      </w:r>
    </w:p>
    <w:p w14:paraId="6B7803EC" w14:textId="07BF5447" w:rsidR="001D1865" w:rsidRPr="00050769" w:rsidRDefault="001D1865" w:rsidP="00050769">
      <w:pPr>
        <w:spacing w:after="0" w:line="240" w:lineRule="auto"/>
        <w:rPr>
          <w:b/>
          <w:bCs/>
          <w:sz w:val="26"/>
          <w:szCs w:val="26"/>
        </w:rPr>
      </w:pPr>
    </w:p>
    <w:p w14:paraId="3DA2EA07" w14:textId="77777777" w:rsidR="00A303A3" w:rsidRDefault="00A303A3" w:rsidP="00050769">
      <w:pPr>
        <w:spacing w:after="0" w:line="240" w:lineRule="auto"/>
        <w:rPr>
          <w:b/>
          <w:bCs/>
        </w:rPr>
      </w:pPr>
    </w:p>
    <w:p w14:paraId="42117C9A" w14:textId="77777777" w:rsidR="00A303A3" w:rsidRDefault="00A303A3" w:rsidP="00050769">
      <w:pPr>
        <w:spacing w:after="0" w:line="240" w:lineRule="auto"/>
        <w:rPr>
          <w:b/>
          <w:bCs/>
        </w:rPr>
      </w:pPr>
    </w:p>
    <w:p w14:paraId="4205A09D" w14:textId="33E5E51B" w:rsidR="00050769" w:rsidRPr="00050769" w:rsidRDefault="00050769" w:rsidP="00050769">
      <w:pPr>
        <w:spacing w:after="0" w:line="240" w:lineRule="auto"/>
        <w:rPr>
          <w:b/>
          <w:bCs/>
        </w:rPr>
      </w:pPr>
      <w:r w:rsidRPr="00050769">
        <w:rPr>
          <w:b/>
          <w:bCs/>
        </w:rPr>
        <w:t xml:space="preserve">Introduction </w:t>
      </w:r>
    </w:p>
    <w:p w14:paraId="3D942780" w14:textId="77777777" w:rsidR="00050769" w:rsidRDefault="00050769" w:rsidP="00050769">
      <w:pPr>
        <w:spacing w:after="0" w:line="240" w:lineRule="auto"/>
      </w:pPr>
      <w:r>
        <w:t xml:space="preserve">This policy statement sets out the school’s arrangements for managing the access of providers to the school for the purpose of giving them information about the provider’s education or training offer. This complies with the school’s legal obligations under Section 42B of the Education Act 1997. </w:t>
      </w:r>
    </w:p>
    <w:p w14:paraId="0AAB5B0A" w14:textId="77777777" w:rsidR="00050769" w:rsidRDefault="00050769" w:rsidP="00050769">
      <w:pPr>
        <w:spacing w:after="0" w:line="240" w:lineRule="auto"/>
      </w:pPr>
    </w:p>
    <w:p w14:paraId="52627F65" w14:textId="77777777" w:rsidR="00050769" w:rsidRPr="00050769" w:rsidRDefault="00050769" w:rsidP="00050769">
      <w:pPr>
        <w:spacing w:after="0" w:line="240" w:lineRule="auto"/>
        <w:rPr>
          <w:b/>
          <w:bCs/>
        </w:rPr>
      </w:pPr>
      <w:r w:rsidRPr="00050769">
        <w:rPr>
          <w:b/>
          <w:bCs/>
        </w:rPr>
        <w:t xml:space="preserve">Pupil entitlement </w:t>
      </w:r>
    </w:p>
    <w:p w14:paraId="456A6375" w14:textId="77777777" w:rsidR="00050769" w:rsidRDefault="00050769" w:rsidP="00050769">
      <w:pPr>
        <w:spacing w:after="0" w:line="240" w:lineRule="auto"/>
      </w:pPr>
      <w:r>
        <w:t xml:space="preserve">All pupils in years 8 to 13 are entitled: </w:t>
      </w:r>
    </w:p>
    <w:p w14:paraId="5D8B3674" w14:textId="77777777" w:rsidR="00050769" w:rsidRDefault="00050769" w:rsidP="00050769">
      <w:pPr>
        <w:spacing w:after="0" w:line="240" w:lineRule="auto"/>
        <w:ind w:left="720"/>
      </w:pPr>
      <w:r>
        <w:t xml:space="preserve">• to find out about technical education qualifications and apprenticeships opportunities, as part of a careers programme which provides information on the full range of education and training options available at each transition point; </w:t>
      </w:r>
    </w:p>
    <w:p w14:paraId="777CA86F" w14:textId="77777777" w:rsidR="00050769" w:rsidRDefault="00050769" w:rsidP="00050769">
      <w:pPr>
        <w:spacing w:after="0" w:line="240" w:lineRule="auto"/>
        <w:ind w:left="720"/>
      </w:pPr>
      <w:r>
        <w:t xml:space="preserve">• to hear from a range of local providers about the opportunities they offer, including technical education and apprenticeships – through options events, assemblies and group discussions and taster events; </w:t>
      </w:r>
    </w:p>
    <w:p w14:paraId="0D150091" w14:textId="77777777" w:rsidR="00050769" w:rsidRDefault="00050769" w:rsidP="00050769">
      <w:pPr>
        <w:spacing w:after="0" w:line="240" w:lineRule="auto"/>
        <w:ind w:left="720"/>
      </w:pPr>
      <w:r>
        <w:t xml:space="preserve">• to understand how to make applications for the full range of academic and technical courses. </w:t>
      </w:r>
    </w:p>
    <w:p w14:paraId="5B6DE86E" w14:textId="77777777" w:rsidR="00050769" w:rsidRDefault="00050769" w:rsidP="00050769">
      <w:pPr>
        <w:spacing w:after="0" w:line="240" w:lineRule="auto"/>
      </w:pPr>
    </w:p>
    <w:p w14:paraId="58296EEF" w14:textId="77777777" w:rsidR="00050769" w:rsidRPr="00050769" w:rsidRDefault="00050769" w:rsidP="00050769">
      <w:pPr>
        <w:spacing w:after="0" w:line="240" w:lineRule="auto"/>
        <w:rPr>
          <w:b/>
          <w:bCs/>
        </w:rPr>
      </w:pPr>
      <w:r w:rsidRPr="00050769">
        <w:rPr>
          <w:b/>
          <w:bCs/>
        </w:rPr>
        <w:t xml:space="preserve">For pupils of compulsory school age these encounters are mandatory and there will be a minimum of two encounters for pupils during the ‘first key phase’ (year 8 to 9) and two encounters for pupils during the ‘second key phase’ (year 10 to 11). For pupils in the ‘third key phase’ (year 12 to 13), particularly those that have not yet decided on their next steps, there are two more provider encounters available during this period, which are optional for pupils to attend. </w:t>
      </w:r>
    </w:p>
    <w:p w14:paraId="15493162" w14:textId="77777777" w:rsidR="00050769" w:rsidRDefault="00050769" w:rsidP="00050769">
      <w:pPr>
        <w:spacing w:after="0" w:line="240" w:lineRule="auto"/>
      </w:pPr>
    </w:p>
    <w:p w14:paraId="52F1C598" w14:textId="77777777" w:rsidR="00050769" w:rsidRDefault="00050769" w:rsidP="00050769">
      <w:pPr>
        <w:spacing w:after="0" w:line="240" w:lineRule="auto"/>
      </w:pPr>
      <w:r>
        <w:t xml:space="preserve">These provider encounters will be scheduled during the main school hours and the provider will be given a reasonable amount of time to, as a minimum: </w:t>
      </w:r>
    </w:p>
    <w:p w14:paraId="595684B1" w14:textId="77777777" w:rsidR="00050769" w:rsidRDefault="00050769" w:rsidP="009122CF">
      <w:pPr>
        <w:spacing w:after="0" w:line="240" w:lineRule="auto"/>
        <w:ind w:left="720"/>
      </w:pPr>
      <w:r>
        <w:t xml:space="preserve">• share information about both the provider and the approved technical education qualification and apprenticeships that the provider offers </w:t>
      </w:r>
    </w:p>
    <w:p w14:paraId="50A5BEE3" w14:textId="77777777" w:rsidR="00050769" w:rsidRDefault="00050769" w:rsidP="009122CF">
      <w:pPr>
        <w:spacing w:after="0" w:line="240" w:lineRule="auto"/>
        <w:ind w:left="720"/>
      </w:pPr>
      <w:r>
        <w:t xml:space="preserve">• explain what career routes those options could lead to </w:t>
      </w:r>
    </w:p>
    <w:p w14:paraId="63EDF9D0" w14:textId="74E2D6E1" w:rsidR="00050769" w:rsidRDefault="00050769" w:rsidP="009122CF">
      <w:pPr>
        <w:spacing w:after="0" w:line="240" w:lineRule="auto"/>
        <w:ind w:left="720"/>
      </w:pPr>
      <w:r>
        <w:t xml:space="preserve">• provide insights into what it might be like to learn or train with that provider (including the opportunity to meet staff and pupils from the provider) </w:t>
      </w:r>
    </w:p>
    <w:p w14:paraId="29BEDC3E" w14:textId="77777777" w:rsidR="00050769" w:rsidRDefault="00050769" w:rsidP="009122CF">
      <w:pPr>
        <w:spacing w:after="0" w:line="240" w:lineRule="auto"/>
        <w:ind w:left="720"/>
      </w:pPr>
      <w:r>
        <w:t xml:space="preserve">• answer questions from pupils. </w:t>
      </w:r>
    </w:p>
    <w:p w14:paraId="0CF5C648" w14:textId="77777777" w:rsidR="00050769" w:rsidRDefault="00050769" w:rsidP="00050769">
      <w:pPr>
        <w:spacing w:after="0" w:line="240" w:lineRule="auto"/>
      </w:pPr>
    </w:p>
    <w:p w14:paraId="4B02C4C5" w14:textId="77777777" w:rsidR="00050769" w:rsidRPr="00050769" w:rsidRDefault="00050769" w:rsidP="00050769">
      <w:pPr>
        <w:spacing w:after="0" w:line="240" w:lineRule="auto"/>
        <w:rPr>
          <w:b/>
          <w:bCs/>
        </w:rPr>
      </w:pPr>
      <w:r w:rsidRPr="00050769">
        <w:rPr>
          <w:b/>
          <w:bCs/>
        </w:rPr>
        <w:t xml:space="preserve">Meaningful provider encounters </w:t>
      </w:r>
    </w:p>
    <w:p w14:paraId="7DA35898" w14:textId="77777777" w:rsidR="00050769" w:rsidRDefault="00050769" w:rsidP="00050769">
      <w:pPr>
        <w:spacing w:after="0" w:line="240" w:lineRule="auto"/>
      </w:pPr>
      <w:r>
        <w:t xml:space="preserve">One encounter is defined as one meeting/session between pupils and one provider. We are committed to providing meaningful encounters to all pupils using the </w:t>
      </w:r>
      <w:hyperlink r:id="rId10" w:history="1">
        <w:r w:rsidRPr="00050769">
          <w:rPr>
            <w:rStyle w:val="Hyperlink"/>
          </w:rPr>
          <w:t>Making it meaningful</w:t>
        </w:r>
      </w:hyperlink>
      <w:r>
        <w:t xml:space="preserve"> checklist. </w:t>
      </w:r>
    </w:p>
    <w:p w14:paraId="71D9532A" w14:textId="030F5102" w:rsidR="00050769" w:rsidRDefault="00050769" w:rsidP="00050769">
      <w:pPr>
        <w:spacing w:after="0" w:line="240" w:lineRule="auto"/>
      </w:pPr>
      <w:r>
        <w:t xml:space="preserve">Meaningful online engagement is also an option, and we are open to providers that are able to provide live online engagement with our pupils. </w:t>
      </w:r>
    </w:p>
    <w:p w14:paraId="0D46776B" w14:textId="77777777" w:rsidR="00050769" w:rsidRDefault="00050769" w:rsidP="00050769">
      <w:pPr>
        <w:spacing w:after="0" w:line="240" w:lineRule="auto"/>
      </w:pPr>
    </w:p>
    <w:p w14:paraId="7524F18B" w14:textId="77777777" w:rsidR="00050769" w:rsidRPr="00050769" w:rsidRDefault="00050769" w:rsidP="00050769">
      <w:pPr>
        <w:spacing w:after="0" w:line="240" w:lineRule="auto"/>
        <w:rPr>
          <w:b/>
          <w:bCs/>
        </w:rPr>
      </w:pPr>
      <w:r w:rsidRPr="00050769">
        <w:rPr>
          <w:b/>
          <w:bCs/>
        </w:rPr>
        <w:t xml:space="preserve">Previous providers </w:t>
      </w:r>
    </w:p>
    <w:p w14:paraId="3C4496C5" w14:textId="62034E3A" w:rsidR="00050769" w:rsidRDefault="00050769" w:rsidP="00050769">
      <w:pPr>
        <w:spacing w:after="0" w:line="240" w:lineRule="auto"/>
      </w:pPr>
      <w:r>
        <w:t>In previous terms/years we have invited the following providers from the local area to speak to our pupils:</w:t>
      </w:r>
    </w:p>
    <w:p w14:paraId="7EDD1D4A" w14:textId="77777777" w:rsidR="004004EA" w:rsidRDefault="004004EA" w:rsidP="00A303A3">
      <w:pPr>
        <w:pStyle w:val="ListParagraph"/>
        <w:numPr>
          <w:ilvl w:val="0"/>
          <w:numId w:val="1"/>
        </w:numPr>
        <w:spacing w:after="0" w:line="240" w:lineRule="auto"/>
      </w:pPr>
      <w:r>
        <w:t>Amazon</w:t>
      </w:r>
    </w:p>
    <w:p w14:paraId="2880C954" w14:textId="27F8381F" w:rsidR="000F2D62" w:rsidRDefault="000F2D62" w:rsidP="00A303A3">
      <w:pPr>
        <w:pStyle w:val="ListParagraph"/>
        <w:numPr>
          <w:ilvl w:val="0"/>
          <w:numId w:val="1"/>
        </w:numPr>
        <w:spacing w:after="0" w:line="240" w:lineRule="auto"/>
      </w:pPr>
      <w:r>
        <w:t>APEX Construction</w:t>
      </w:r>
    </w:p>
    <w:p w14:paraId="358AD4C8" w14:textId="36ABFB86" w:rsidR="00A303A3" w:rsidRDefault="00A303A3" w:rsidP="00A303A3">
      <w:pPr>
        <w:pStyle w:val="ListParagraph"/>
        <w:numPr>
          <w:ilvl w:val="0"/>
          <w:numId w:val="1"/>
        </w:numPr>
        <w:spacing w:after="0" w:line="240" w:lineRule="auto"/>
      </w:pPr>
      <w:r>
        <w:t>The British Army</w:t>
      </w:r>
    </w:p>
    <w:p w14:paraId="537C7084" w14:textId="3974FD79" w:rsidR="00A303A3" w:rsidRDefault="00A303A3" w:rsidP="00A303A3">
      <w:pPr>
        <w:pStyle w:val="ListParagraph"/>
        <w:numPr>
          <w:ilvl w:val="0"/>
          <w:numId w:val="1"/>
        </w:numPr>
        <w:spacing w:after="0" w:line="240" w:lineRule="auto"/>
      </w:pPr>
      <w:r>
        <w:t>Canterbury Christ Church University</w:t>
      </w:r>
    </w:p>
    <w:p w14:paraId="582CEC70" w14:textId="00942146" w:rsidR="001C535F" w:rsidRDefault="001C535F" w:rsidP="00A303A3">
      <w:pPr>
        <w:pStyle w:val="ListParagraph"/>
        <w:numPr>
          <w:ilvl w:val="0"/>
          <w:numId w:val="1"/>
        </w:numPr>
        <w:spacing w:after="0" w:line="240" w:lineRule="auto"/>
      </w:pPr>
      <w:r>
        <w:t>The Department for Work and Pensions</w:t>
      </w:r>
    </w:p>
    <w:p w14:paraId="20B3AFBA" w14:textId="25670BF7" w:rsidR="00A303A3" w:rsidRDefault="00A303A3" w:rsidP="00A303A3">
      <w:pPr>
        <w:pStyle w:val="ListParagraph"/>
        <w:numPr>
          <w:ilvl w:val="0"/>
          <w:numId w:val="1"/>
        </w:numPr>
        <w:spacing w:after="0" w:line="240" w:lineRule="auto"/>
      </w:pPr>
      <w:r>
        <w:t>The Education People</w:t>
      </w:r>
    </w:p>
    <w:p w14:paraId="2DA3CAD9" w14:textId="4C32EE2A" w:rsidR="000F2D62" w:rsidRDefault="000F2D62" w:rsidP="00A303A3">
      <w:pPr>
        <w:pStyle w:val="ListParagraph"/>
        <w:numPr>
          <w:ilvl w:val="0"/>
          <w:numId w:val="1"/>
        </w:numPr>
        <w:spacing w:after="0" w:line="240" w:lineRule="auto"/>
      </w:pPr>
      <w:r>
        <w:t>FCC Environment</w:t>
      </w:r>
    </w:p>
    <w:p w14:paraId="25F99970" w14:textId="715E8523" w:rsidR="000F2D62" w:rsidRDefault="000F2D62" w:rsidP="00A303A3">
      <w:pPr>
        <w:pStyle w:val="ListParagraph"/>
        <w:numPr>
          <w:ilvl w:val="0"/>
          <w:numId w:val="1"/>
        </w:numPr>
        <w:spacing w:after="0" w:line="240" w:lineRule="auto"/>
      </w:pPr>
      <w:r>
        <w:t>European School of Osteopathy</w:t>
      </w:r>
    </w:p>
    <w:p w14:paraId="4BAD861C" w14:textId="76AA24B5" w:rsidR="000F2D62" w:rsidRDefault="000F2D62" w:rsidP="00A303A3">
      <w:pPr>
        <w:pStyle w:val="ListParagraph"/>
        <w:numPr>
          <w:ilvl w:val="0"/>
          <w:numId w:val="1"/>
        </w:numPr>
        <w:spacing w:after="0" w:line="240" w:lineRule="auto"/>
      </w:pPr>
      <w:r>
        <w:lastRenderedPageBreak/>
        <w:t>Hadlow College</w:t>
      </w:r>
    </w:p>
    <w:p w14:paraId="4A861C73" w14:textId="4DCD1ED8" w:rsidR="00A303A3" w:rsidRDefault="00A303A3" w:rsidP="00A303A3">
      <w:pPr>
        <w:pStyle w:val="ListParagraph"/>
        <w:numPr>
          <w:ilvl w:val="0"/>
          <w:numId w:val="1"/>
        </w:numPr>
        <w:spacing w:after="0" w:line="240" w:lineRule="auto"/>
      </w:pPr>
      <w:r>
        <w:t>KATO Training</w:t>
      </w:r>
    </w:p>
    <w:p w14:paraId="512528F3" w14:textId="42A3073E" w:rsidR="001C535F" w:rsidRDefault="000E2020" w:rsidP="00A303A3">
      <w:pPr>
        <w:pStyle w:val="ListParagraph"/>
        <w:numPr>
          <w:ilvl w:val="0"/>
          <w:numId w:val="1"/>
        </w:numPr>
        <w:spacing w:after="0" w:line="240" w:lineRule="auto"/>
      </w:pPr>
      <w:r>
        <w:t>Kent Police</w:t>
      </w:r>
    </w:p>
    <w:p w14:paraId="674F1251" w14:textId="2CAE7C36" w:rsidR="004004EA" w:rsidRDefault="004004EA" w:rsidP="00A303A3">
      <w:pPr>
        <w:pStyle w:val="ListParagraph"/>
        <w:numPr>
          <w:ilvl w:val="0"/>
          <w:numId w:val="1"/>
        </w:numPr>
        <w:spacing w:after="0" w:line="240" w:lineRule="auto"/>
      </w:pPr>
      <w:r>
        <w:t>MEP</w:t>
      </w:r>
    </w:p>
    <w:p w14:paraId="0677C5CC" w14:textId="0C4B8699" w:rsidR="00A303A3" w:rsidRDefault="00A303A3" w:rsidP="00A303A3">
      <w:pPr>
        <w:pStyle w:val="ListParagraph"/>
        <w:numPr>
          <w:ilvl w:val="0"/>
          <w:numId w:val="1"/>
        </w:numPr>
        <w:spacing w:after="0" w:line="240" w:lineRule="auto"/>
      </w:pPr>
      <w:r>
        <w:t>MidKent College</w:t>
      </w:r>
    </w:p>
    <w:p w14:paraId="4877417F" w14:textId="137F91F8" w:rsidR="008A2B25" w:rsidRDefault="008A2B25" w:rsidP="00A303A3">
      <w:pPr>
        <w:pStyle w:val="ListParagraph"/>
        <w:numPr>
          <w:ilvl w:val="0"/>
          <w:numId w:val="1"/>
        </w:numPr>
        <w:spacing w:after="0" w:line="240" w:lineRule="auto"/>
      </w:pPr>
      <w:r>
        <w:t>National Grid</w:t>
      </w:r>
    </w:p>
    <w:p w14:paraId="39BFF254" w14:textId="52BE29B2" w:rsidR="000F2D62" w:rsidRDefault="000F2D62" w:rsidP="00A303A3">
      <w:pPr>
        <w:pStyle w:val="ListParagraph"/>
        <w:numPr>
          <w:ilvl w:val="0"/>
          <w:numId w:val="1"/>
        </w:numPr>
        <w:spacing w:after="0" w:line="240" w:lineRule="auto"/>
      </w:pPr>
      <w:r>
        <w:t>North Kent College</w:t>
      </w:r>
    </w:p>
    <w:p w14:paraId="485F7CE3" w14:textId="2BBFCC33" w:rsidR="001C535F" w:rsidRDefault="001C535F" w:rsidP="00A303A3">
      <w:pPr>
        <w:pStyle w:val="ListParagraph"/>
        <w:numPr>
          <w:ilvl w:val="0"/>
          <w:numId w:val="1"/>
        </w:numPr>
        <w:spacing w:after="0" w:line="240" w:lineRule="auto"/>
      </w:pPr>
      <w:r>
        <w:t>The NHS</w:t>
      </w:r>
    </w:p>
    <w:p w14:paraId="7A276F69" w14:textId="03B9A961" w:rsidR="00A303A3" w:rsidRDefault="00A303A3" w:rsidP="00A303A3">
      <w:pPr>
        <w:pStyle w:val="ListParagraph"/>
        <w:numPr>
          <w:ilvl w:val="0"/>
          <w:numId w:val="1"/>
        </w:numPr>
        <w:spacing w:after="0" w:line="240" w:lineRule="auto"/>
      </w:pPr>
      <w:r>
        <w:t>The Royal Navy</w:t>
      </w:r>
    </w:p>
    <w:p w14:paraId="6C0532ED" w14:textId="77777777" w:rsidR="00A303A3" w:rsidRDefault="00A303A3" w:rsidP="00A303A3">
      <w:pPr>
        <w:pStyle w:val="ListParagraph"/>
        <w:numPr>
          <w:ilvl w:val="0"/>
          <w:numId w:val="1"/>
        </w:numPr>
        <w:spacing w:after="0" w:line="240" w:lineRule="auto"/>
      </w:pPr>
      <w:r>
        <w:t>University for the Creative Arts</w:t>
      </w:r>
    </w:p>
    <w:p w14:paraId="00489DF3" w14:textId="40E275B3" w:rsidR="00A303A3" w:rsidRDefault="00A303A3" w:rsidP="00A303A3">
      <w:pPr>
        <w:pStyle w:val="ListParagraph"/>
        <w:numPr>
          <w:ilvl w:val="0"/>
          <w:numId w:val="1"/>
        </w:numPr>
        <w:spacing w:after="0" w:line="240" w:lineRule="auto"/>
      </w:pPr>
      <w:r>
        <w:t xml:space="preserve">University of Kent </w:t>
      </w:r>
    </w:p>
    <w:p w14:paraId="3066A419" w14:textId="2927CC9A" w:rsidR="000F2D62" w:rsidRDefault="000F2D62" w:rsidP="00A303A3">
      <w:pPr>
        <w:pStyle w:val="ListParagraph"/>
        <w:numPr>
          <w:ilvl w:val="0"/>
          <w:numId w:val="1"/>
        </w:numPr>
        <w:spacing w:after="0" w:line="240" w:lineRule="auto"/>
      </w:pPr>
      <w:r>
        <w:t>Waitrose Distribution Centre</w:t>
      </w:r>
    </w:p>
    <w:p w14:paraId="4ACA3C67" w14:textId="03F6F6BB" w:rsidR="005A0BFB" w:rsidRDefault="005A0BFB" w:rsidP="00A303A3">
      <w:pPr>
        <w:pStyle w:val="ListParagraph"/>
        <w:numPr>
          <w:ilvl w:val="0"/>
          <w:numId w:val="1"/>
        </w:numPr>
        <w:spacing w:after="0" w:line="240" w:lineRule="auto"/>
      </w:pPr>
      <w:proofErr w:type="spellStart"/>
      <w:r>
        <w:t>Watchfinder</w:t>
      </w:r>
      <w:proofErr w:type="spellEnd"/>
    </w:p>
    <w:p w14:paraId="0025AEBA" w14:textId="77777777" w:rsidR="000F2D62" w:rsidRDefault="000F2D62" w:rsidP="000F2D62">
      <w:pPr>
        <w:spacing w:after="0" w:line="240" w:lineRule="auto"/>
      </w:pPr>
    </w:p>
    <w:p w14:paraId="3C778077" w14:textId="77777777" w:rsidR="00050769" w:rsidRDefault="00050769" w:rsidP="00050769">
      <w:pPr>
        <w:spacing w:after="0" w:line="240" w:lineRule="auto"/>
      </w:pPr>
    </w:p>
    <w:p w14:paraId="35C1FFE0" w14:textId="77777777" w:rsidR="00050769" w:rsidRPr="00050769" w:rsidRDefault="00050769" w:rsidP="00050769">
      <w:pPr>
        <w:spacing w:after="0" w:line="240" w:lineRule="auto"/>
        <w:rPr>
          <w:b/>
          <w:bCs/>
        </w:rPr>
      </w:pPr>
      <w:r w:rsidRPr="00050769">
        <w:rPr>
          <w:b/>
          <w:bCs/>
        </w:rPr>
        <w:t xml:space="preserve">Destinations of our pupils </w:t>
      </w:r>
    </w:p>
    <w:p w14:paraId="1E7C1DCF" w14:textId="675213F7" w:rsidR="00050769" w:rsidRDefault="00050769" w:rsidP="00050769">
      <w:pPr>
        <w:spacing w:after="0" w:line="240" w:lineRule="auto"/>
      </w:pPr>
      <w:r>
        <w:t xml:space="preserve">Last year our year 11 pupils moved to range of providers after school: </w:t>
      </w:r>
    </w:p>
    <w:p w14:paraId="72218066" w14:textId="1E653593" w:rsidR="0019683C" w:rsidRDefault="0019683C" w:rsidP="0019683C">
      <w:pPr>
        <w:pStyle w:val="ListParagraph"/>
        <w:numPr>
          <w:ilvl w:val="0"/>
          <w:numId w:val="3"/>
        </w:numPr>
        <w:spacing w:after="0" w:line="240" w:lineRule="auto"/>
      </w:pPr>
      <w:r>
        <w:t>Colleges (</w:t>
      </w:r>
      <w:r w:rsidR="00336055">
        <w:t>60</w:t>
      </w:r>
      <w:r>
        <w:t>%)</w:t>
      </w:r>
    </w:p>
    <w:p w14:paraId="2CACCAD4" w14:textId="3A11B4A8" w:rsidR="0019683C" w:rsidRDefault="0019683C" w:rsidP="0019683C">
      <w:pPr>
        <w:pStyle w:val="ListParagraph"/>
        <w:numPr>
          <w:ilvl w:val="0"/>
          <w:numId w:val="3"/>
        </w:numPr>
        <w:spacing w:after="0" w:line="240" w:lineRule="auto"/>
      </w:pPr>
      <w:r>
        <w:t>Aylesford School Sixth Form (</w:t>
      </w:r>
      <w:r w:rsidR="00C32CFF">
        <w:t>1</w:t>
      </w:r>
      <w:r>
        <w:t>2%)</w:t>
      </w:r>
    </w:p>
    <w:p w14:paraId="0C5A8700" w14:textId="153DFCC7" w:rsidR="0019683C" w:rsidRDefault="0019683C" w:rsidP="0019683C">
      <w:pPr>
        <w:pStyle w:val="ListParagraph"/>
        <w:numPr>
          <w:ilvl w:val="0"/>
          <w:numId w:val="3"/>
        </w:numPr>
        <w:spacing w:after="0" w:line="240" w:lineRule="auto"/>
      </w:pPr>
      <w:r>
        <w:t>Other Sixth Forms (1</w:t>
      </w:r>
      <w:r w:rsidR="00784B4D">
        <w:t>0</w:t>
      </w:r>
      <w:r>
        <w:t>%)</w:t>
      </w:r>
    </w:p>
    <w:p w14:paraId="3D792B18" w14:textId="424152E8" w:rsidR="00784B4D" w:rsidRDefault="00784B4D" w:rsidP="00784B4D">
      <w:pPr>
        <w:pStyle w:val="ListParagraph"/>
        <w:numPr>
          <w:ilvl w:val="0"/>
          <w:numId w:val="3"/>
        </w:numPr>
        <w:spacing w:after="0" w:line="240" w:lineRule="auto"/>
      </w:pPr>
      <w:r>
        <w:t>Apprenticeships (</w:t>
      </w:r>
      <w:r w:rsidR="00336055">
        <w:t>4</w:t>
      </w:r>
      <w:r>
        <w:t>%)</w:t>
      </w:r>
    </w:p>
    <w:p w14:paraId="59904D97" w14:textId="190FB7A1" w:rsidR="00784B4D" w:rsidRDefault="00784B4D" w:rsidP="0019683C">
      <w:pPr>
        <w:pStyle w:val="ListParagraph"/>
        <w:numPr>
          <w:ilvl w:val="0"/>
          <w:numId w:val="3"/>
        </w:numPr>
        <w:spacing w:after="0" w:line="240" w:lineRule="auto"/>
      </w:pPr>
      <w:r>
        <w:t>Sports Scholarships (8%)</w:t>
      </w:r>
    </w:p>
    <w:p w14:paraId="72FBACC6" w14:textId="78B3C9CB" w:rsidR="0019683C" w:rsidRDefault="0019683C" w:rsidP="0019683C">
      <w:pPr>
        <w:pStyle w:val="ListParagraph"/>
        <w:numPr>
          <w:ilvl w:val="0"/>
          <w:numId w:val="3"/>
        </w:numPr>
        <w:spacing w:after="0" w:line="240" w:lineRule="auto"/>
      </w:pPr>
      <w:r>
        <w:t>Other (</w:t>
      </w:r>
      <w:r w:rsidR="00336055">
        <w:t>6</w:t>
      </w:r>
      <w:r>
        <w:t>%)</w:t>
      </w:r>
    </w:p>
    <w:p w14:paraId="25173D99" w14:textId="77777777" w:rsidR="00050769" w:rsidRDefault="00050769" w:rsidP="00050769">
      <w:pPr>
        <w:spacing w:after="0" w:line="240" w:lineRule="auto"/>
      </w:pPr>
    </w:p>
    <w:p w14:paraId="2FD4A63D" w14:textId="59C9BA73" w:rsidR="00050769" w:rsidRDefault="00050769" w:rsidP="00050769">
      <w:pPr>
        <w:spacing w:after="0" w:line="240" w:lineRule="auto"/>
      </w:pPr>
      <w:r>
        <w:t>Last year our year 13 pupils moved to</w:t>
      </w:r>
      <w:r w:rsidR="006B0491">
        <w:t xml:space="preserve"> a</w:t>
      </w:r>
      <w:r>
        <w:t xml:space="preserve"> range of providers after school: </w:t>
      </w:r>
    </w:p>
    <w:p w14:paraId="1F5BCB24" w14:textId="136C5DD5" w:rsidR="006B0491" w:rsidRDefault="006B0491" w:rsidP="0019683C">
      <w:pPr>
        <w:pStyle w:val="ListParagraph"/>
        <w:numPr>
          <w:ilvl w:val="0"/>
          <w:numId w:val="4"/>
        </w:numPr>
        <w:spacing w:after="0" w:line="240" w:lineRule="auto"/>
      </w:pPr>
      <w:r>
        <w:t>Employment (5</w:t>
      </w:r>
      <w:r w:rsidR="007366BC">
        <w:t>0</w:t>
      </w:r>
      <w:r>
        <w:t>%)</w:t>
      </w:r>
    </w:p>
    <w:p w14:paraId="31F931DC" w14:textId="77C4BA15" w:rsidR="0019683C" w:rsidRDefault="0019683C" w:rsidP="0019683C">
      <w:pPr>
        <w:pStyle w:val="ListParagraph"/>
        <w:numPr>
          <w:ilvl w:val="0"/>
          <w:numId w:val="4"/>
        </w:numPr>
        <w:spacing w:after="0" w:line="240" w:lineRule="auto"/>
      </w:pPr>
      <w:r>
        <w:t>University (</w:t>
      </w:r>
      <w:r w:rsidR="006B0491">
        <w:t>3</w:t>
      </w:r>
      <w:r w:rsidR="007366BC">
        <w:t>9</w:t>
      </w:r>
      <w:r w:rsidR="006B0491">
        <w:t>%)</w:t>
      </w:r>
    </w:p>
    <w:p w14:paraId="028A3F6C" w14:textId="0BA97F62" w:rsidR="006B0491" w:rsidRDefault="006B0491" w:rsidP="0019683C">
      <w:pPr>
        <w:pStyle w:val="ListParagraph"/>
        <w:numPr>
          <w:ilvl w:val="0"/>
          <w:numId w:val="4"/>
        </w:numPr>
        <w:spacing w:after="0" w:line="240" w:lineRule="auto"/>
      </w:pPr>
      <w:r>
        <w:t>Apprenticeships (</w:t>
      </w:r>
      <w:r w:rsidR="007366BC">
        <w:t>11</w:t>
      </w:r>
      <w:r>
        <w:t>%)</w:t>
      </w:r>
    </w:p>
    <w:p w14:paraId="7A4D7B9D" w14:textId="77777777" w:rsidR="00050769" w:rsidRDefault="00050769" w:rsidP="00050769">
      <w:pPr>
        <w:spacing w:after="0" w:line="240" w:lineRule="auto"/>
      </w:pPr>
    </w:p>
    <w:p w14:paraId="64C43FFD" w14:textId="77777777" w:rsidR="00050769" w:rsidRPr="0039723E" w:rsidRDefault="00050769" w:rsidP="00050769">
      <w:pPr>
        <w:spacing w:after="0" w:line="240" w:lineRule="auto"/>
        <w:rPr>
          <w:b/>
          <w:bCs/>
          <w:sz w:val="24"/>
        </w:rPr>
      </w:pPr>
      <w:r w:rsidRPr="0039723E">
        <w:rPr>
          <w:b/>
          <w:bCs/>
          <w:sz w:val="24"/>
        </w:rPr>
        <w:t xml:space="preserve">Management of provider access requests </w:t>
      </w:r>
    </w:p>
    <w:p w14:paraId="3188ACAD" w14:textId="77777777" w:rsidR="0039723E" w:rsidRDefault="0039723E" w:rsidP="00050769">
      <w:pPr>
        <w:spacing w:after="0" w:line="240" w:lineRule="auto"/>
        <w:rPr>
          <w:b/>
          <w:bCs/>
        </w:rPr>
      </w:pPr>
    </w:p>
    <w:p w14:paraId="109514EB" w14:textId="1CACF03A" w:rsidR="00050769" w:rsidRPr="00050769" w:rsidRDefault="00050769" w:rsidP="00050769">
      <w:pPr>
        <w:spacing w:after="0" w:line="240" w:lineRule="auto"/>
        <w:rPr>
          <w:b/>
          <w:bCs/>
        </w:rPr>
      </w:pPr>
      <w:r w:rsidRPr="00050769">
        <w:rPr>
          <w:b/>
          <w:bCs/>
        </w:rPr>
        <w:t xml:space="preserve">Procedure </w:t>
      </w:r>
    </w:p>
    <w:p w14:paraId="1AF6976D" w14:textId="6746A821" w:rsidR="00050769" w:rsidRDefault="00050769" w:rsidP="00050769">
      <w:pPr>
        <w:spacing w:after="0" w:line="240" w:lineRule="auto"/>
      </w:pPr>
      <w:r>
        <w:t xml:space="preserve">A provider wishing to request access should contact </w:t>
      </w:r>
      <w:r w:rsidR="0039723E">
        <w:t>Mr Doggett</w:t>
      </w:r>
      <w:r>
        <w:t xml:space="preserve">, </w:t>
      </w:r>
      <w:r w:rsidR="0039723E">
        <w:t>Careers Leader. Please email ben.doggett@aylesford.kent.sch.uk</w:t>
      </w:r>
      <w:r>
        <w:t xml:space="preserve"> </w:t>
      </w:r>
    </w:p>
    <w:p w14:paraId="28C9BEE4" w14:textId="77777777" w:rsidR="00050769" w:rsidRDefault="00050769" w:rsidP="00050769">
      <w:pPr>
        <w:spacing w:after="0" w:line="240" w:lineRule="auto"/>
      </w:pPr>
    </w:p>
    <w:p w14:paraId="2D995527" w14:textId="77777777" w:rsidR="00050769" w:rsidRPr="00050769" w:rsidRDefault="00050769" w:rsidP="00050769">
      <w:pPr>
        <w:spacing w:after="0" w:line="240" w:lineRule="auto"/>
        <w:rPr>
          <w:b/>
          <w:bCs/>
        </w:rPr>
      </w:pPr>
      <w:r w:rsidRPr="00050769">
        <w:rPr>
          <w:b/>
          <w:bCs/>
        </w:rPr>
        <w:t xml:space="preserve">Opportunities for access </w:t>
      </w:r>
    </w:p>
    <w:p w14:paraId="20AE04D4" w14:textId="7AE50BCA" w:rsidR="00050769" w:rsidRDefault="00050769" w:rsidP="00050769">
      <w:pPr>
        <w:spacing w:after="0" w:line="240" w:lineRule="auto"/>
      </w:pPr>
      <w:r>
        <w:t xml:space="preserve">The school offers the six provider encounters required by law (marked in bold text) and a number of additional events, integrated into the school careers programme. We will offer providers an opportunity to come into school to speak to pupils or their parents or carers. </w:t>
      </w:r>
    </w:p>
    <w:p w14:paraId="3236693D" w14:textId="77777777" w:rsidR="00050769" w:rsidRDefault="00050769" w:rsidP="00050769">
      <w:pPr>
        <w:spacing w:after="0" w:line="240" w:lineRule="auto"/>
      </w:pPr>
    </w:p>
    <w:p w14:paraId="2E504899" w14:textId="0F92A45E" w:rsidR="00CB285C" w:rsidRDefault="00050769" w:rsidP="00050769">
      <w:pPr>
        <w:spacing w:after="0" w:line="240" w:lineRule="auto"/>
      </w:pPr>
      <w:r>
        <w:t>Please speak to our Careers Leader</w:t>
      </w:r>
      <w:r w:rsidR="0039723E">
        <w:t>, Mr Doggett,</w:t>
      </w:r>
      <w:r>
        <w:t xml:space="preserve"> to identify the most suitable opportunity for you.</w:t>
      </w:r>
    </w:p>
    <w:p w14:paraId="65E18E1E" w14:textId="77777777" w:rsidR="00693366" w:rsidRDefault="00693366" w:rsidP="00050769">
      <w:pPr>
        <w:spacing w:after="0" w:line="240" w:lineRule="auto"/>
      </w:pPr>
    </w:p>
    <w:p w14:paraId="7D8AEB41" w14:textId="77777777" w:rsidR="00693366" w:rsidRDefault="00693366" w:rsidP="00050769">
      <w:pPr>
        <w:spacing w:after="0" w:line="240" w:lineRule="auto"/>
      </w:pPr>
    </w:p>
    <w:tbl>
      <w:tblPr>
        <w:tblStyle w:val="TableGrid"/>
        <w:tblW w:w="0" w:type="auto"/>
        <w:tblLook w:val="04A0" w:firstRow="1" w:lastRow="0" w:firstColumn="1" w:lastColumn="0" w:noHBand="0" w:noVBand="1"/>
      </w:tblPr>
      <w:tblGrid>
        <w:gridCol w:w="1342"/>
        <w:gridCol w:w="2504"/>
        <w:gridCol w:w="2632"/>
        <w:gridCol w:w="2924"/>
      </w:tblGrid>
      <w:tr w:rsidR="002B009C" w14:paraId="5BD73800" w14:textId="77777777" w:rsidTr="00B20497">
        <w:tc>
          <w:tcPr>
            <w:tcW w:w="1384" w:type="dxa"/>
            <w:shd w:val="clear" w:color="auto" w:fill="BFBFBF" w:themeFill="background1" w:themeFillShade="BF"/>
          </w:tcPr>
          <w:p w14:paraId="5098B363" w14:textId="77777777" w:rsidR="006F328B" w:rsidRDefault="006F328B" w:rsidP="00050769"/>
        </w:tc>
        <w:tc>
          <w:tcPr>
            <w:tcW w:w="2552" w:type="dxa"/>
            <w:shd w:val="clear" w:color="auto" w:fill="BFBFBF" w:themeFill="background1" w:themeFillShade="BF"/>
          </w:tcPr>
          <w:p w14:paraId="0D26C678" w14:textId="471BE473" w:rsidR="006F328B" w:rsidRDefault="00B20497" w:rsidP="00050769">
            <w:r>
              <w:t>Term</w:t>
            </w:r>
            <w:r w:rsidR="004004EA">
              <w:t>s 1&amp;2</w:t>
            </w:r>
          </w:p>
        </w:tc>
        <w:tc>
          <w:tcPr>
            <w:tcW w:w="2693" w:type="dxa"/>
            <w:shd w:val="clear" w:color="auto" w:fill="BFBFBF" w:themeFill="background1" w:themeFillShade="BF"/>
          </w:tcPr>
          <w:p w14:paraId="2398937B" w14:textId="1E47A250" w:rsidR="006F328B" w:rsidRDefault="00B20497" w:rsidP="00050769">
            <w:r>
              <w:t>Term</w:t>
            </w:r>
            <w:r w:rsidR="004004EA">
              <w:t>s 3&amp;4</w:t>
            </w:r>
          </w:p>
        </w:tc>
        <w:tc>
          <w:tcPr>
            <w:tcW w:w="2999" w:type="dxa"/>
            <w:shd w:val="clear" w:color="auto" w:fill="BFBFBF" w:themeFill="background1" w:themeFillShade="BF"/>
          </w:tcPr>
          <w:p w14:paraId="2F5E9DC4" w14:textId="246D201E" w:rsidR="006F328B" w:rsidRDefault="00B20497" w:rsidP="00050769">
            <w:r>
              <w:t>Term</w:t>
            </w:r>
            <w:r w:rsidR="004004EA">
              <w:t>s 5&amp;6</w:t>
            </w:r>
          </w:p>
        </w:tc>
      </w:tr>
      <w:tr w:rsidR="002B009C" w14:paraId="411727BA" w14:textId="77777777" w:rsidTr="00B20497">
        <w:tc>
          <w:tcPr>
            <w:tcW w:w="1384" w:type="dxa"/>
          </w:tcPr>
          <w:p w14:paraId="1398B909" w14:textId="33403B6B" w:rsidR="006F328B" w:rsidRDefault="00B20497" w:rsidP="00050769">
            <w:r>
              <w:t>Year 8</w:t>
            </w:r>
          </w:p>
          <w:p w14:paraId="2F33D1F1" w14:textId="77777777" w:rsidR="00B20497" w:rsidRDefault="00B20497" w:rsidP="00050769"/>
          <w:p w14:paraId="7C02563F" w14:textId="77777777" w:rsidR="00B20497" w:rsidRDefault="00B20497" w:rsidP="00050769"/>
          <w:p w14:paraId="6A8C42FF" w14:textId="7209C61E" w:rsidR="00B20497" w:rsidRDefault="00B20497" w:rsidP="00050769"/>
        </w:tc>
        <w:tc>
          <w:tcPr>
            <w:tcW w:w="2552" w:type="dxa"/>
          </w:tcPr>
          <w:p w14:paraId="21F3192A" w14:textId="77777777" w:rsidR="006F328B" w:rsidRDefault="006F328B" w:rsidP="00050769"/>
        </w:tc>
        <w:tc>
          <w:tcPr>
            <w:tcW w:w="2693" w:type="dxa"/>
          </w:tcPr>
          <w:p w14:paraId="061922A6" w14:textId="1E8447DA" w:rsidR="006F328B" w:rsidRPr="000A6395" w:rsidRDefault="000A6395" w:rsidP="00050769">
            <w:pPr>
              <w:rPr>
                <w:b/>
              </w:rPr>
            </w:pPr>
            <w:r w:rsidRPr="000A6395">
              <w:rPr>
                <w:b/>
              </w:rPr>
              <w:t>Workplace insights assembly with local apprenticeship provider</w:t>
            </w:r>
          </w:p>
        </w:tc>
        <w:tc>
          <w:tcPr>
            <w:tcW w:w="2999" w:type="dxa"/>
          </w:tcPr>
          <w:p w14:paraId="099A344D" w14:textId="77777777" w:rsidR="00D212E4" w:rsidRDefault="00D212E4" w:rsidP="00050769">
            <w:pPr>
              <w:rPr>
                <w:b/>
              </w:rPr>
            </w:pPr>
            <w:r w:rsidRPr="002B009C">
              <w:t xml:space="preserve">Work experience </w:t>
            </w:r>
            <w:r>
              <w:t>days/Enterprise Days</w:t>
            </w:r>
            <w:r w:rsidRPr="002B009C">
              <w:rPr>
                <w:b/>
              </w:rPr>
              <w:t xml:space="preserve"> </w:t>
            </w:r>
          </w:p>
          <w:p w14:paraId="2B611652" w14:textId="77777777" w:rsidR="000A6395" w:rsidRDefault="000A6395" w:rsidP="00050769"/>
          <w:p w14:paraId="0D52EB3C" w14:textId="72BF2E53" w:rsidR="002B009C" w:rsidRPr="000A6395" w:rsidRDefault="002B009C" w:rsidP="00050769">
            <w:r w:rsidRPr="000A6395">
              <w:t>STEM Presentation</w:t>
            </w:r>
          </w:p>
        </w:tc>
      </w:tr>
      <w:tr w:rsidR="002B009C" w14:paraId="6A453B86" w14:textId="77777777" w:rsidTr="00B20497">
        <w:tc>
          <w:tcPr>
            <w:tcW w:w="1384" w:type="dxa"/>
          </w:tcPr>
          <w:p w14:paraId="683E922E" w14:textId="2EC1864C" w:rsidR="006F328B" w:rsidRDefault="00B20497" w:rsidP="00050769">
            <w:r>
              <w:t>Year 9</w:t>
            </w:r>
          </w:p>
          <w:p w14:paraId="5C690CFB" w14:textId="77777777" w:rsidR="00B20497" w:rsidRDefault="00B20497" w:rsidP="00050769"/>
          <w:p w14:paraId="0F4B8657" w14:textId="77777777" w:rsidR="00B20497" w:rsidRDefault="00B20497" w:rsidP="00050769"/>
          <w:p w14:paraId="305BD6A0" w14:textId="4523F3C4" w:rsidR="00B20497" w:rsidRDefault="00B20497" w:rsidP="00050769"/>
        </w:tc>
        <w:tc>
          <w:tcPr>
            <w:tcW w:w="2552" w:type="dxa"/>
          </w:tcPr>
          <w:p w14:paraId="4E45799D" w14:textId="3737B928" w:rsidR="006F328B" w:rsidRDefault="006F328B" w:rsidP="00050769"/>
        </w:tc>
        <w:tc>
          <w:tcPr>
            <w:tcW w:w="2693" w:type="dxa"/>
          </w:tcPr>
          <w:p w14:paraId="272A57C1" w14:textId="6E3C916F" w:rsidR="006F328B" w:rsidRDefault="002B009C" w:rsidP="00050769">
            <w:r>
              <w:t>GCSE Options event</w:t>
            </w:r>
          </w:p>
          <w:p w14:paraId="54783497" w14:textId="77777777" w:rsidR="000A6395" w:rsidRDefault="000A6395" w:rsidP="00050769">
            <w:pPr>
              <w:rPr>
                <w:b/>
              </w:rPr>
            </w:pPr>
          </w:p>
          <w:p w14:paraId="24A45406" w14:textId="46A21E7B" w:rsidR="000A6395" w:rsidRDefault="000A6395" w:rsidP="00050769">
            <w:r w:rsidRPr="000A6395">
              <w:rPr>
                <w:b/>
              </w:rPr>
              <w:lastRenderedPageBreak/>
              <w:t>Workplace insights assembly with local apprenticeship provider</w:t>
            </w:r>
          </w:p>
          <w:p w14:paraId="5A574C6F" w14:textId="4EFEFC85" w:rsidR="002B009C" w:rsidRDefault="002B009C" w:rsidP="00050769"/>
        </w:tc>
        <w:tc>
          <w:tcPr>
            <w:tcW w:w="2999" w:type="dxa"/>
          </w:tcPr>
          <w:p w14:paraId="317F3557" w14:textId="77777777" w:rsidR="006F328B" w:rsidRDefault="002B009C" w:rsidP="00050769">
            <w:r w:rsidRPr="002B009C">
              <w:lastRenderedPageBreak/>
              <w:t xml:space="preserve">Work experience </w:t>
            </w:r>
            <w:r>
              <w:t>days</w:t>
            </w:r>
            <w:r w:rsidR="00D212E4">
              <w:t>/Enterprise Days</w:t>
            </w:r>
          </w:p>
          <w:p w14:paraId="1AFCF4D3" w14:textId="77777777" w:rsidR="005A0BFB" w:rsidRDefault="005A0BFB" w:rsidP="00050769"/>
          <w:p w14:paraId="621C1457" w14:textId="75490436" w:rsidR="005A0BFB" w:rsidRDefault="005A0BFB" w:rsidP="00050769">
            <w:r w:rsidRPr="000A6395">
              <w:t>STEM Presentation</w:t>
            </w:r>
          </w:p>
        </w:tc>
      </w:tr>
      <w:tr w:rsidR="002B009C" w14:paraId="032C863C" w14:textId="77777777" w:rsidTr="00B20497">
        <w:tc>
          <w:tcPr>
            <w:tcW w:w="1384" w:type="dxa"/>
          </w:tcPr>
          <w:p w14:paraId="17DDFA5D" w14:textId="274D5299" w:rsidR="006F328B" w:rsidRDefault="00B20497" w:rsidP="00050769">
            <w:r>
              <w:lastRenderedPageBreak/>
              <w:t>Year 10</w:t>
            </w:r>
          </w:p>
          <w:p w14:paraId="0D8674DE" w14:textId="77777777" w:rsidR="00B20497" w:rsidRDefault="00B20497" w:rsidP="00050769"/>
          <w:p w14:paraId="3D0E9AAF" w14:textId="77777777" w:rsidR="00B20497" w:rsidRDefault="00B20497" w:rsidP="00050769"/>
          <w:p w14:paraId="7D096F6C" w14:textId="7A3E2496" w:rsidR="00B20497" w:rsidRDefault="00B20497" w:rsidP="00050769"/>
        </w:tc>
        <w:tc>
          <w:tcPr>
            <w:tcW w:w="2552" w:type="dxa"/>
          </w:tcPr>
          <w:p w14:paraId="6E048A14" w14:textId="77777777" w:rsidR="006F328B" w:rsidRDefault="006F328B" w:rsidP="00050769"/>
        </w:tc>
        <w:tc>
          <w:tcPr>
            <w:tcW w:w="2693" w:type="dxa"/>
          </w:tcPr>
          <w:p w14:paraId="3F32073E" w14:textId="13D75742" w:rsidR="000A6395" w:rsidRDefault="000A6395" w:rsidP="00050769">
            <w:r w:rsidRPr="000A6395">
              <w:rPr>
                <w:b/>
              </w:rPr>
              <w:t>Workplace insights assembly with local apprenticeship provider</w:t>
            </w:r>
          </w:p>
        </w:tc>
        <w:tc>
          <w:tcPr>
            <w:tcW w:w="2999" w:type="dxa"/>
          </w:tcPr>
          <w:p w14:paraId="7D4CB79A" w14:textId="2236509D" w:rsidR="002B009C" w:rsidRPr="002B009C" w:rsidRDefault="002B009C" w:rsidP="00050769">
            <w:r w:rsidRPr="002B009C">
              <w:t>Work experience week</w:t>
            </w:r>
          </w:p>
        </w:tc>
      </w:tr>
      <w:tr w:rsidR="002B009C" w14:paraId="0F785CC2" w14:textId="77777777" w:rsidTr="00B20497">
        <w:tc>
          <w:tcPr>
            <w:tcW w:w="1384" w:type="dxa"/>
          </w:tcPr>
          <w:p w14:paraId="63FFE3C3" w14:textId="6FBFB4C2" w:rsidR="006F328B" w:rsidRDefault="00B20497" w:rsidP="00050769">
            <w:r>
              <w:t>Year 11</w:t>
            </w:r>
          </w:p>
          <w:p w14:paraId="046D8072" w14:textId="77777777" w:rsidR="00B20497" w:rsidRDefault="00B20497" w:rsidP="00050769"/>
          <w:p w14:paraId="33049AAC" w14:textId="77777777" w:rsidR="00B20497" w:rsidRDefault="00B20497" w:rsidP="00050769"/>
          <w:p w14:paraId="5E2665DD" w14:textId="77E54E95" w:rsidR="00B20497" w:rsidRDefault="00B20497" w:rsidP="00050769"/>
        </w:tc>
        <w:tc>
          <w:tcPr>
            <w:tcW w:w="2552" w:type="dxa"/>
          </w:tcPr>
          <w:p w14:paraId="3A71F06F" w14:textId="0D33895A" w:rsidR="006F328B" w:rsidRDefault="004004EA" w:rsidP="00050769">
            <w:r>
              <w:t>Meeting with careers adviser</w:t>
            </w:r>
          </w:p>
          <w:p w14:paraId="0D28ED62" w14:textId="77777777" w:rsidR="005A0BFB" w:rsidRDefault="005A0BFB" w:rsidP="00050769"/>
          <w:p w14:paraId="7B844942" w14:textId="579EEA16" w:rsidR="002B009C" w:rsidRDefault="002B009C" w:rsidP="00050769">
            <w:r>
              <w:t>Post 16 applications</w:t>
            </w:r>
          </w:p>
          <w:p w14:paraId="6416589D" w14:textId="77777777" w:rsidR="002B009C" w:rsidRDefault="002B009C" w:rsidP="00050769"/>
          <w:p w14:paraId="7D141DA2" w14:textId="2A5B9375" w:rsidR="005A0BFB" w:rsidRDefault="005A0BFB" w:rsidP="005A0BFB">
            <w:pPr>
              <w:rPr>
                <w:b/>
              </w:rPr>
            </w:pPr>
            <w:r w:rsidRPr="002B009C">
              <w:rPr>
                <w:b/>
              </w:rPr>
              <w:t>Post 16 options assemblies with</w:t>
            </w:r>
            <w:r>
              <w:rPr>
                <w:b/>
              </w:rPr>
              <w:t xml:space="preserve"> Sixth Form, </w:t>
            </w:r>
            <w:r w:rsidR="00336055">
              <w:rPr>
                <w:b/>
              </w:rPr>
              <w:t>c</w:t>
            </w:r>
            <w:r w:rsidRPr="002B009C">
              <w:rPr>
                <w:b/>
              </w:rPr>
              <w:t>ollege</w:t>
            </w:r>
            <w:r w:rsidR="00336055">
              <w:rPr>
                <w:b/>
              </w:rPr>
              <w:t>s</w:t>
            </w:r>
          </w:p>
          <w:p w14:paraId="021EC6BA" w14:textId="4726D149" w:rsidR="002B009C" w:rsidRPr="002B009C" w:rsidRDefault="005A0BFB" w:rsidP="00050769">
            <w:pPr>
              <w:rPr>
                <w:b/>
              </w:rPr>
            </w:pPr>
            <w:r>
              <w:rPr>
                <w:b/>
              </w:rPr>
              <w:t xml:space="preserve">and </w:t>
            </w:r>
            <w:r w:rsidR="002B009C" w:rsidRPr="002B009C">
              <w:rPr>
                <w:b/>
              </w:rPr>
              <w:t>apprenticeships assembly</w:t>
            </w:r>
          </w:p>
        </w:tc>
        <w:tc>
          <w:tcPr>
            <w:tcW w:w="2693" w:type="dxa"/>
          </w:tcPr>
          <w:p w14:paraId="3928DB7B" w14:textId="77777777" w:rsidR="006F328B" w:rsidRDefault="002B009C" w:rsidP="00050769">
            <w:r>
              <w:t>Post 16 interviews</w:t>
            </w:r>
          </w:p>
          <w:p w14:paraId="07EB98A2" w14:textId="77777777" w:rsidR="00144D78" w:rsidRDefault="00144D78" w:rsidP="00050769"/>
          <w:p w14:paraId="71BA8637" w14:textId="05B97C77" w:rsidR="00144D78" w:rsidRDefault="00144D78" w:rsidP="00050769">
            <w:r w:rsidRPr="000A6395">
              <w:rPr>
                <w:b/>
              </w:rPr>
              <w:t>Workplace insights assembly with local apprenticeship provider</w:t>
            </w:r>
          </w:p>
        </w:tc>
        <w:tc>
          <w:tcPr>
            <w:tcW w:w="2999" w:type="dxa"/>
          </w:tcPr>
          <w:p w14:paraId="1BBBD21D" w14:textId="77777777" w:rsidR="006F328B" w:rsidRDefault="006F328B" w:rsidP="00050769"/>
        </w:tc>
      </w:tr>
      <w:tr w:rsidR="002B009C" w14:paraId="3BEB4F5D" w14:textId="77777777" w:rsidTr="00B20497">
        <w:tc>
          <w:tcPr>
            <w:tcW w:w="1384" w:type="dxa"/>
          </w:tcPr>
          <w:p w14:paraId="4536D46A" w14:textId="28718FEE" w:rsidR="006F328B" w:rsidRDefault="00B20497" w:rsidP="00050769">
            <w:r>
              <w:t>Year 12</w:t>
            </w:r>
          </w:p>
          <w:p w14:paraId="37C37F57" w14:textId="77777777" w:rsidR="00B20497" w:rsidRDefault="00B20497" w:rsidP="00050769"/>
          <w:p w14:paraId="284582ED" w14:textId="77777777" w:rsidR="00B20497" w:rsidRDefault="00B20497" w:rsidP="00050769"/>
          <w:p w14:paraId="178B3720" w14:textId="0DBC8416" w:rsidR="00B20497" w:rsidRDefault="00B20497" w:rsidP="00050769"/>
        </w:tc>
        <w:tc>
          <w:tcPr>
            <w:tcW w:w="2552" w:type="dxa"/>
          </w:tcPr>
          <w:p w14:paraId="52CE8663" w14:textId="77777777" w:rsidR="006F328B" w:rsidRDefault="006F328B" w:rsidP="00050769"/>
        </w:tc>
        <w:tc>
          <w:tcPr>
            <w:tcW w:w="2693" w:type="dxa"/>
          </w:tcPr>
          <w:p w14:paraId="580673E8" w14:textId="77777777" w:rsidR="006F328B" w:rsidRDefault="006F328B" w:rsidP="00050769"/>
        </w:tc>
        <w:tc>
          <w:tcPr>
            <w:tcW w:w="2999" w:type="dxa"/>
          </w:tcPr>
          <w:p w14:paraId="5939A14E" w14:textId="47FF9BCD" w:rsidR="006F328B" w:rsidRDefault="004004EA" w:rsidP="00050769">
            <w:r>
              <w:t>Meeting with careers adviser</w:t>
            </w:r>
          </w:p>
          <w:p w14:paraId="05B7B3F5" w14:textId="571D0F2B" w:rsidR="002B009C" w:rsidRDefault="002B009C" w:rsidP="00050769">
            <w:r w:rsidRPr="002B009C">
              <w:t>Work experience week</w:t>
            </w:r>
          </w:p>
          <w:p w14:paraId="10DBCC66" w14:textId="77777777" w:rsidR="000A6395" w:rsidRDefault="000A6395" w:rsidP="00050769"/>
          <w:p w14:paraId="0A99735C" w14:textId="55F491FF" w:rsidR="00D212E4" w:rsidRPr="002B009C" w:rsidRDefault="002B009C" w:rsidP="00050769">
            <w:pPr>
              <w:rPr>
                <w:b/>
              </w:rPr>
            </w:pPr>
            <w:r w:rsidRPr="002B009C">
              <w:rPr>
                <w:b/>
              </w:rPr>
              <w:t>Higher Education fair for a variety of HE providers</w:t>
            </w:r>
          </w:p>
        </w:tc>
      </w:tr>
      <w:tr w:rsidR="002B009C" w14:paraId="354695B7" w14:textId="77777777" w:rsidTr="00B20497">
        <w:tc>
          <w:tcPr>
            <w:tcW w:w="1384" w:type="dxa"/>
          </w:tcPr>
          <w:p w14:paraId="668AE0BD" w14:textId="77777777" w:rsidR="00B20497" w:rsidRDefault="00B20497" w:rsidP="00050769">
            <w:r>
              <w:t>Year 13</w:t>
            </w:r>
          </w:p>
          <w:p w14:paraId="43B5B1C1" w14:textId="77777777" w:rsidR="00B20497" w:rsidRDefault="00B20497" w:rsidP="00050769"/>
          <w:p w14:paraId="078C7C5A" w14:textId="77777777" w:rsidR="00B20497" w:rsidRDefault="00B20497" w:rsidP="00050769"/>
          <w:p w14:paraId="14279666" w14:textId="2C7109AA" w:rsidR="00B20497" w:rsidRDefault="00B20497" w:rsidP="00050769"/>
        </w:tc>
        <w:tc>
          <w:tcPr>
            <w:tcW w:w="2552" w:type="dxa"/>
          </w:tcPr>
          <w:p w14:paraId="3D4569DC" w14:textId="5B3D2E7C" w:rsidR="00B20497" w:rsidRDefault="002B009C" w:rsidP="00050769">
            <w:pPr>
              <w:rPr>
                <w:b/>
              </w:rPr>
            </w:pPr>
            <w:r w:rsidRPr="002B009C">
              <w:rPr>
                <w:b/>
              </w:rPr>
              <w:t>Post 18 assembly with Higher and Degree apprenticeships</w:t>
            </w:r>
          </w:p>
          <w:p w14:paraId="552D252F" w14:textId="77777777" w:rsidR="000A6395" w:rsidRDefault="000A6395" w:rsidP="00050769">
            <w:pPr>
              <w:rPr>
                <w:b/>
              </w:rPr>
            </w:pPr>
          </w:p>
          <w:p w14:paraId="4DC176A2" w14:textId="60218F96" w:rsidR="00D212E4" w:rsidRPr="00D212E4" w:rsidRDefault="00D212E4" w:rsidP="00050769">
            <w:r w:rsidRPr="00D212E4">
              <w:t>University application support sessions</w:t>
            </w:r>
          </w:p>
        </w:tc>
        <w:tc>
          <w:tcPr>
            <w:tcW w:w="2693" w:type="dxa"/>
          </w:tcPr>
          <w:p w14:paraId="2EC0F9AF" w14:textId="77777777" w:rsidR="005A0BFB" w:rsidRDefault="005A0BFB" w:rsidP="005A0BFB">
            <w:r>
              <w:t>Meeting with careers adviser</w:t>
            </w:r>
          </w:p>
          <w:p w14:paraId="11F10BCE" w14:textId="77777777" w:rsidR="00B20497" w:rsidRDefault="00B20497" w:rsidP="00050769"/>
        </w:tc>
        <w:tc>
          <w:tcPr>
            <w:tcW w:w="2999" w:type="dxa"/>
          </w:tcPr>
          <w:p w14:paraId="675EA757" w14:textId="3C377588" w:rsidR="00B20497" w:rsidRPr="00D212E4" w:rsidRDefault="00B20497" w:rsidP="00050769">
            <w:pPr>
              <w:rPr>
                <w:b/>
              </w:rPr>
            </w:pPr>
          </w:p>
        </w:tc>
      </w:tr>
    </w:tbl>
    <w:p w14:paraId="4867972C" w14:textId="77777777" w:rsidR="00693366" w:rsidRDefault="00693366" w:rsidP="00050769">
      <w:pPr>
        <w:spacing w:after="0" w:line="240" w:lineRule="auto"/>
      </w:pPr>
    </w:p>
    <w:p w14:paraId="532051D0" w14:textId="77777777" w:rsidR="00693366" w:rsidRDefault="00693366" w:rsidP="00050769">
      <w:pPr>
        <w:spacing w:after="0" w:line="240" w:lineRule="auto"/>
      </w:pPr>
    </w:p>
    <w:p w14:paraId="11D3CD4B" w14:textId="77777777" w:rsidR="00693366" w:rsidRDefault="00693366" w:rsidP="00050769">
      <w:pPr>
        <w:spacing w:after="0" w:line="240" w:lineRule="auto"/>
      </w:pPr>
    </w:p>
    <w:p w14:paraId="6B288092" w14:textId="05A86443" w:rsidR="009122CF" w:rsidRPr="009122CF" w:rsidRDefault="009122CF" w:rsidP="00050769">
      <w:pPr>
        <w:spacing w:after="0" w:line="240" w:lineRule="auto"/>
        <w:rPr>
          <w:b/>
          <w:bCs/>
        </w:rPr>
      </w:pPr>
      <w:r w:rsidRPr="009122CF">
        <w:rPr>
          <w:b/>
          <w:bCs/>
        </w:rPr>
        <w:t xml:space="preserve">Premises and facilities </w:t>
      </w:r>
    </w:p>
    <w:p w14:paraId="2949E92D" w14:textId="14234A48" w:rsidR="009122CF" w:rsidRDefault="009122CF" w:rsidP="00050769">
      <w:pPr>
        <w:spacing w:after="0" w:line="240" w:lineRule="auto"/>
      </w:pPr>
      <w:r>
        <w:t xml:space="preserve">The school will make the main hall, classrooms or </w:t>
      </w:r>
      <w:r w:rsidR="008E75A1">
        <w:t>the conference</w:t>
      </w:r>
      <w:r>
        <w:t xml:space="preserve"> room available for discussions between the provider and pupils, as appropriate to the activity. The school will also make available AV and other specialist equipment to support provider presentations. This will all be discussed and agreed in advance of the visit with the Careers Leader</w:t>
      </w:r>
      <w:r w:rsidR="008E75A1">
        <w:t>.</w:t>
      </w:r>
    </w:p>
    <w:p w14:paraId="2BE65696" w14:textId="77777777" w:rsidR="009122CF" w:rsidRDefault="009122CF" w:rsidP="00050769">
      <w:pPr>
        <w:spacing w:after="0" w:line="240" w:lineRule="auto"/>
      </w:pPr>
    </w:p>
    <w:p w14:paraId="62F58D1D" w14:textId="2326EAD0" w:rsidR="009122CF" w:rsidRDefault="009122CF" w:rsidP="00050769">
      <w:pPr>
        <w:spacing w:after="0" w:line="240" w:lineRule="auto"/>
      </w:pPr>
      <w:r>
        <w:t xml:space="preserve">Meaningful online engagement is also an option, and we are open to providers that are able to provide live online engagement with our pupils. </w:t>
      </w:r>
    </w:p>
    <w:p w14:paraId="2D0FAF06" w14:textId="77777777" w:rsidR="009122CF" w:rsidRDefault="009122CF" w:rsidP="00050769">
      <w:pPr>
        <w:spacing w:after="0" w:line="240" w:lineRule="auto"/>
      </w:pPr>
    </w:p>
    <w:p w14:paraId="3C135F9D" w14:textId="77777777" w:rsidR="009122CF" w:rsidRPr="009122CF" w:rsidRDefault="009122CF" w:rsidP="00050769">
      <w:pPr>
        <w:spacing w:after="0" w:line="240" w:lineRule="auto"/>
        <w:rPr>
          <w:b/>
          <w:bCs/>
        </w:rPr>
      </w:pPr>
      <w:r w:rsidRPr="009122CF">
        <w:rPr>
          <w:b/>
          <w:bCs/>
        </w:rPr>
        <w:t xml:space="preserve">Complaints: </w:t>
      </w:r>
    </w:p>
    <w:p w14:paraId="4B660746" w14:textId="1634A681" w:rsidR="009122CF" w:rsidRDefault="009122CF" w:rsidP="00050769">
      <w:pPr>
        <w:spacing w:after="0" w:line="240" w:lineRule="auto"/>
      </w:pPr>
      <w:r>
        <w:t xml:space="preserve">Any complaints with regards to provider access can be raised following the school complaints procedure or directly with The Careers &amp; Enterprise Company via </w:t>
      </w:r>
      <w:hyperlink r:id="rId11" w:history="1">
        <w:r w:rsidRPr="00C700AE">
          <w:rPr>
            <w:rStyle w:val="Hyperlink"/>
          </w:rPr>
          <w:t>provideraccess@careersandenterprise.co.uk</w:t>
        </w:r>
      </w:hyperlink>
    </w:p>
    <w:sectPr w:rsidR="009122CF" w:rsidSect="009122CF">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73131" w14:textId="77777777" w:rsidR="0023075A" w:rsidRDefault="0023075A" w:rsidP="009122CF">
      <w:pPr>
        <w:spacing w:after="0" w:line="240" w:lineRule="auto"/>
      </w:pPr>
      <w:r>
        <w:separator/>
      </w:r>
    </w:p>
  </w:endnote>
  <w:endnote w:type="continuationSeparator" w:id="0">
    <w:p w14:paraId="07F8A200" w14:textId="77777777" w:rsidR="0023075A" w:rsidRDefault="0023075A" w:rsidP="00912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03664" w14:textId="77777777" w:rsidR="0023075A" w:rsidRDefault="0023075A" w:rsidP="009122CF">
      <w:pPr>
        <w:spacing w:after="0" w:line="240" w:lineRule="auto"/>
      </w:pPr>
      <w:r>
        <w:separator/>
      </w:r>
    </w:p>
  </w:footnote>
  <w:footnote w:type="continuationSeparator" w:id="0">
    <w:p w14:paraId="67C84334" w14:textId="77777777" w:rsidR="0023075A" w:rsidRDefault="0023075A" w:rsidP="009122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7D8A"/>
    <w:multiLevelType w:val="hybridMultilevel"/>
    <w:tmpl w:val="B48AB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B8F1DE7"/>
    <w:multiLevelType w:val="hybridMultilevel"/>
    <w:tmpl w:val="4D286A5E"/>
    <w:lvl w:ilvl="0" w:tplc="81C25DA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FFA0879"/>
    <w:multiLevelType w:val="hybridMultilevel"/>
    <w:tmpl w:val="5D6A25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3444141"/>
    <w:multiLevelType w:val="hybridMultilevel"/>
    <w:tmpl w:val="45005C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04425658">
    <w:abstractNumId w:val="3"/>
  </w:num>
  <w:num w:numId="2" w16cid:durableId="1641614859">
    <w:abstractNumId w:val="1"/>
  </w:num>
  <w:num w:numId="3" w16cid:durableId="1862619571">
    <w:abstractNumId w:val="0"/>
  </w:num>
  <w:num w:numId="4" w16cid:durableId="6220038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769"/>
    <w:rsid w:val="00050769"/>
    <w:rsid w:val="000A6395"/>
    <w:rsid w:val="000E2020"/>
    <w:rsid w:val="000F2D62"/>
    <w:rsid w:val="00144D78"/>
    <w:rsid w:val="0019683C"/>
    <w:rsid w:val="001A4AA9"/>
    <w:rsid w:val="001C535F"/>
    <w:rsid w:val="001D1865"/>
    <w:rsid w:val="0023075A"/>
    <w:rsid w:val="002B009C"/>
    <w:rsid w:val="00312F94"/>
    <w:rsid w:val="00336055"/>
    <w:rsid w:val="0039723E"/>
    <w:rsid w:val="004004EA"/>
    <w:rsid w:val="00484E0D"/>
    <w:rsid w:val="0049101D"/>
    <w:rsid w:val="00597D88"/>
    <w:rsid w:val="005A0BFB"/>
    <w:rsid w:val="00693366"/>
    <w:rsid w:val="006B0491"/>
    <w:rsid w:val="006F328B"/>
    <w:rsid w:val="007366BC"/>
    <w:rsid w:val="00784B4D"/>
    <w:rsid w:val="007C31B9"/>
    <w:rsid w:val="008563E2"/>
    <w:rsid w:val="008A2B25"/>
    <w:rsid w:val="008E75A1"/>
    <w:rsid w:val="009122CF"/>
    <w:rsid w:val="00986E2F"/>
    <w:rsid w:val="00A303A3"/>
    <w:rsid w:val="00B04518"/>
    <w:rsid w:val="00B20497"/>
    <w:rsid w:val="00C32CFF"/>
    <w:rsid w:val="00C3467D"/>
    <w:rsid w:val="00CB07E0"/>
    <w:rsid w:val="00CB285C"/>
    <w:rsid w:val="00CB5948"/>
    <w:rsid w:val="00D212E4"/>
    <w:rsid w:val="00D674C2"/>
    <w:rsid w:val="00DF5078"/>
    <w:rsid w:val="00E27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8CB93"/>
  <w15:chartTrackingRefBased/>
  <w15:docId w15:val="{86EE13C0-BC34-492C-810C-038509F8D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769"/>
    <w:rPr>
      <w:color w:val="0563C1" w:themeColor="hyperlink"/>
      <w:u w:val="single"/>
    </w:rPr>
  </w:style>
  <w:style w:type="character" w:customStyle="1" w:styleId="UnresolvedMention1">
    <w:name w:val="Unresolved Mention1"/>
    <w:basedOn w:val="DefaultParagraphFont"/>
    <w:uiPriority w:val="99"/>
    <w:semiHidden/>
    <w:unhideWhenUsed/>
    <w:rsid w:val="00050769"/>
    <w:rPr>
      <w:color w:val="605E5C"/>
      <w:shd w:val="clear" w:color="auto" w:fill="E1DFDD"/>
    </w:rPr>
  </w:style>
  <w:style w:type="paragraph" w:styleId="Header">
    <w:name w:val="header"/>
    <w:basedOn w:val="Normal"/>
    <w:link w:val="HeaderChar"/>
    <w:uiPriority w:val="99"/>
    <w:unhideWhenUsed/>
    <w:rsid w:val="009122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2CF"/>
  </w:style>
  <w:style w:type="paragraph" w:styleId="Footer">
    <w:name w:val="footer"/>
    <w:basedOn w:val="Normal"/>
    <w:link w:val="FooterChar"/>
    <w:uiPriority w:val="99"/>
    <w:unhideWhenUsed/>
    <w:rsid w:val="009122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2CF"/>
  </w:style>
  <w:style w:type="table" w:styleId="TableGrid">
    <w:name w:val="Table Grid"/>
    <w:basedOn w:val="TableNormal"/>
    <w:uiPriority w:val="59"/>
    <w:rsid w:val="006F3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videraccess@careersandenterprise.co.uk" TargetMode="External"/><Relationship Id="rId5" Type="http://schemas.openxmlformats.org/officeDocument/2006/relationships/footnotes" Target="footnotes.xml"/><Relationship Id="rId10" Type="http://schemas.openxmlformats.org/officeDocument/2006/relationships/hyperlink" Target="https://resources.careersandenterprise.co.uk/resources/making-it-meaningful-benchmark-7"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4</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Education People</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Pinnell, Victoria - TEP</dc:creator>
  <cp:keywords/>
  <dc:description/>
  <cp:lastModifiedBy>Ben Doggett</cp:lastModifiedBy>
  <cp:revision>4</cp:revision>
  <dcterms:created xsi:type="dcterms:W3CDTF">2025-07-22T08:53:00Z</dcterms:created>
  <dcterms:modified xsi:type="dcterms:W3CDTF">2025-07-22T12:33:00Z</dcterms:modified>
</cp:coreProperties>
</file>